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8A15" w14:textId="77777777" w:rsidR="00F8717B" w:rsidRPr="00A27AE4" w:rsidRDefault="00F8717B" w:rsidP="00F8717B">
      <w:pPr>
        <w:jc w:val="both"/>
        <w:rPr>
          <w:rFonts w:ascii="Garamond" w:eastAsia="Times New Roman" w:hAnsi="Garamond" w:cs="Arial"/>
          <w:b/>
          <w:bCs/>
          <w:color w:val="000000" w:themeColor="text1"/>
          <w:sz w:val="28"/>
          <w:szCs w:val="28"/>
          <w:lang w:eastAsia="fr-FR"/>
        </w:rPr>
      </w:pPr>
      <w:r w:rsidRPr="00A27AE4">
        <w:rPr>
          <w:rFonts w:ascii="Garamond" w:eastAsia="Times New Roman" w:hAnsi="Garamond" w:cs="Arial"/>
          <w:b/>
          <w:bCs/>
          <w:color w:val="000000" w:themeColor="text1"/>
          <w:sz w:val="28"/>
          <w:szCs w:val="28"/>
          <w:lang w:eastAsia="fr-FR"/>
        </w:rPr>
        <w:t>Lecture des tableaux et prédication</w:t>
      </w:r>
    </w:p>
    <w:p w14:paraId="68BC1CBF" w14:textId="77777777" w:rsidR="00F8717B" w:rsidRDefault="00F8717B" w:rsidP="00F8717B">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 xml:space="preserve">Il y a beaucoup de tableaux de la conversion de Paul. Et il y en a beaucoup qui datent de la Réforme, </w:t>
      </w:r>
      <w:r w:rsidRPr="00641306">
        <w:rPr>
          <w:rFonts w:ascii="Garamond" w:eastAsia="Times New Roman" w:hAnsi="Garamond" w:cs="Arial"/>
          <w:color w:val="000000" w:themeColor="text1"/>
          <w:sz w:val="28"/>
          <w:szCs w:val="28"/>
          <w:lang w:eastAsia="fr-FR"/>
        </w:rPr>
        <w:t xml:space="preserve">et ce n’est pas sans raison. Paul est à la fois un nom de pape </w:t>
      </w:r>
      <w:r>
        <w:rPr>
          <w:rFonts w:ascii="Garamond" w:eastAsia="Times New Roman" w:hAnsi="Garamond" w:cs="Arial"/>
          <w:color w:val="000000" w:themeColor="text1"/>
          <w:sz w:val="28"/>
          <w:szCs w:val="28"/>
          <w:lang w:eastAsia="fr-FR"/>
        </w:rPr>
        <w:t>(</w:t>
      </w:r>
      <w:r w:rsidRPr="00641306">
        <w:rPr>
          <w:rFonts w:ascii="Garamond" w:eastAsia="Times New Roman" w:hAnsi="Garamond" w:cs="Arial"/>
          <w:color w:val="000000" w:themeColor="text1"/>
          <w:sz w:val="28"/>
          <w:szCs w:val="28"/>
          <w:lang w:eastAsia="fr-FR"/>
        </w:rPr>
        <w:t>Paul III et Paul</w:t>
      </w:r>
      <w:r>
        <w:rPr>
          <w:rFonts w:ascii="Garamond" w:eastAsia="Times New Roman" w:hAnsi="Garamond" w:cs="Arial"/>
          <w:color w:val="000000" w:themeColor="text1"/>
          <w:sz w:val="28"/>
          <w:szCs w:val="28"/>
          <w:lang w:eastAsia="fr-FR"/>
        </w:rPr>
        <w:t xml:space="preserve"> IV)</w:t>
      </w:r>
      <w:r w:rsidRPr="00641306">
        <w:rPr>
          <w:rFonts w:ascii="Garamond" w:eastAsia="Times New Roman" w:hAnsi="Garamond" w:cs="Arial"/>
          <w:color w:val="000000" w:themeColor="text1"/>
          <w:sz w:val="28"/>
          <w:szCs w:val="28"/>
          <w:lang w:eastAsia="fr-FR"/>
        </w:rPr>
        <w:t xml:space="preserve">, et, </w:t>
      </w:r>
      <w:r>
        <w:rPr>
          <w:rFonts w:ascii="Garamond" w:eastAsia="Times New Roman" w:hAnsi="Garamond" w:cs="Arial"/>
          <w:color w:val="000000" w:themeColor="text1"/>
          <w:sz w:val="28"/>
          <w:szCs w:val="28"/>
          <w:lang w:eastAsia="fr-FR"/>
        </w:rPr>
        <w:t>le nom de l’apôtre</w:t>
      </w:r>
      <w:r w:rsidRPr="00641306">
        <w:rPr>
          <w:rFonts w:ascii="Garamond" w:eastAsia="Times New Roman" w:hAnsi="Garamond" w:cs="Arial"/>
          <w:color w:val="000000" w:themeColor="text1"/>
          <w:sz w:val="28"/>
          <w:szCs w:val="28"/>
          <w:lang w:eastAsia="fr-FR"/>
        </w:rPr>
        <w:t xml:space="preserve"> favori de Luther</w:t>
      </w:r>
      <w:r>
        <w:rPr>
          <w:rFonts w:ascii="Garamond" w:eastAsia="Times New Roman" w:hAnsi="Garamond" w:cs="Arial"/>
          <w:color w:val="000000" w:themeColor="text1"/>
          <w:sz w:val="28"/>
          <w:szCs w:val="28"/>
          <w:lang w:eastAsia="fr-FR"/>
        </w:rPr>
        <w:t> :</w:t>
      </w:r>
      <w:r w:rsidRPr="00641306">
        <w:rPr>
          <w:rFonts w:ascii="Garamond" w:eastAsia="Times New Roman" w:hAnsi="Garamond" w:cs="Arial"/>
          <w:color w:val="000000" w:themeColor="text1"/>
          <w:sz w:val="28"/>
          <w:szCs w:val="28"/>
          <w:lang w:eastAsia="fr-FR"/>
        </w:rPr>
        <w:t xml:space="preserve"> Paul </w:t>
      </w:r>
      <w:r>
        <w:rPr>
          <w:rFonts w:ascii="Garamond" w:eastAsia="Times New Roman" w:hAnsi="Garamond" w:cs="Arial"/>
          <w:color w:val="000000" w:themeColor="text1"/>
          <w:sz w:val="28"/>
          <w:szCs w:val="28"/>
          <w:lang w:eastAsia="fr-FR"/>
        </w:rPr>
        <w:t>plutôt que</w:t>
      </w:r>
      <w:r w:rsidRPr="00641306">
        <w:rPr>
          <w:rFonts w:ascii="Garamond" w:eastAsia="Times New Roman" w:hAnsi="Garamond" w:cs="Arial"/>
          <w:color w:val="000000" w:themeColor="text1"/>
          <w:sz w:val="28"/>
          <w:szCs w:val="28"/>
          <w:lang w:eastAsia="fr-FR"/>
        </w:rPr>
        <w:t xml:space="preserve"> Pierre</w:t>
      </w:r>
      <w:r>
        <w:rPr>
          <w:rFonts w:ascii="Garamond" w:eastAsia="Times New Roman" w:hAnsi="Garamond" w:cs="Arial"/>
          <w:color w:val="000000" w:themeColor="text1"/>
          <w:sz w:val="28"/>
          <w:szCs w:val="28"/>
          <w:lang w:eastAsia="fr-FR"/>
        </w:rPr>
        <w:t> !</w:t>
      </w:r>
      <w:r w:rsidRPr="00641306">
        <w:rPr>
          <w:rFonts w:ascii="Garamond" w:eastAsia="Times New Roman" w:hAnsi="Garamond" w:cs="Arial"/>
          <w:color w:val="000000" w:themeColor="text1"/>
          <w:sz w:val="28"/>
          <w:szCs w:val="28"/>
          <w:lang w:eastAsia="fr-FR"/>
        </w:rPr>
        <w:t xml:space="preserve"> </w:t>
      </w:r>
      <w:r>
        <w:rPr>
          <w:rFonts w:ascii="Garamond" w:eastAsia="Times New Roman" w:hAnsi="Garamond" w:cs="Arial"/>
          <w:color w:val="000000" w:themeColor="text1"/>
          <w:sz w:val="28"/>
          <w:szCs w:val="28"/>
          <w:lang w:eastAsia="fr-FR"/>
        </w:rPr>
        <w:t>Les tableaux représentant la</w:t>
      </w:r>
      <w:r w:rsidRPr="00641306">
        <w:rPr>
          <w:rFonts w:ascii="Garamond" w:eastAsia="Times New Roman" w:hAnsi="Garamond" w:cs="Arial"/>
          <w:color w:val="000000" w:themeColor="text1"/>
          <w:sz w:val="28"/>
          <w:szCs w:val="28"/>
          <w:lang w:eastAsia="fr-FR"/>
        </w:rPr>
        <w:t xml:space="preserve"> Conversion de Paul </w:t>
      </w:r>
      <w:r>
        <w:rPr>
          <w:rFonts w:ascii="Garamond" w:eastAsia="Times New Roman" w:hAnsi="Garamond" w:cs="Arial"/>
          <w:color w:val="000000" w:themeColor="text1"/>
          <w:sz w:val="28"/>
          <w:szCs w:val="28"/>
          <w:lang w:eastAsia="fr-FR"/>
        </w:rPr>
        <w:t>par des peintres catholiques sont</w:t>
      </w:r>
      <w:r w:rsidRPr="00641306">
        <w:rPr>
          <w:rFonts w:ascii="Garamond" w:eastAsia="Times New Roman" w:hAnsi="Garamond" w:cs="Arial"/>
          <w:color w:val="000000" w:themeColor="text1"/>
          <w:sz w:val="28"/>
          <w:szCs w:val="28"/>
          <w:lang w:eastAsia="fr-FR"/>
        </w:rPr>
        <w:t xml:space="preserve"> évidemment </w:t>
      </w:r>
      <w:r>
        <w:rPr>
          <w:rFonts w:ascii="Garamond" w:eastAsia="Times New Roman" w:hAnsi="Garamond" w:cs="Arial"/>
          <w:color w:val="000000" w:themeColor="text1"/>
          <w:sz w:val="28"/>
          <w:szCs w:val="28"/>
          <w:lang w:eastAsia="fr-FR"/>
        </w:rPr>
        <w:t>des</w:t>
      </w:r>
      <w:r w:rsidRPr="00641306">
        <w:rPr>
          <w:rFonts w:ascii="Garamond" w:eastAsia="Times New Roman" w:hAnsi="Garamond" w:cs="Arial"/>
          <w:color w:val="000000" w:themeColor="text1"/>
          <w:sz w:val="28"/>
          <w:szCs w:val="28"/>
          <w:lang w:eastAsia="fr-FR"/>
        </w:rPr>
        <w:t xml:space="preserve"> message</w:t>
      </w:r>
      <w:r>
        <w:rPr>
          <w:rFonts w:ascii="Garamond" w:eastAsia="Times New Roman" w:hAnsi="Garamond" w:cs="Arial"/>
          <w:color w:val="000000" w:themeColor="text1"/>
          <w:sz w:val="28"/>
          <w:szCs w:val="28"/>
          <w:lang w:eastAsia="fr-FR"/>
        </w:rPr>
        <w:t>s</w:t>
      </w:r>
      <w:r w:rsidRPr="00641306">
        <w:rPr>
          <w:rFonts w:ascii="Garamond" w:eastAsia="Times New Roman" w:hAnsi="Garamond" w:cs="Arial"/>
          <w:color w:val="000000" w:themeColor="text1"/>
          <w:sz w:val="28"/>
          <w:szCs w:val="28"/>
          <w:lang w:eastAsia="fr-FR"/>
        </w:rPr>
        <w:t xml:space="preserve"> envoyé</w:t>
      </w:r>
      <w:r>
        <w:rPr>
          <w:rFonts w:ascii="Garamond" w:eastAsia="Times New Roman" w:hAnsi="Garamond" w:cs="Arial"/>
          <w:color w:val="000000" w:themeColor="text1"/>
          <w:sz w:val="28"/>
          <w:szCs w:val="28"/>
          <w:lang w:eastAsia="fr-FR"/>
        </w:rPr>
        <w:t>s</w:t>
      </w:r>
      <w:r w:rsidRPr="00641306">
        <w:rPr>
          <w:rFonts w:ascii="Garamond" w:eastAsia="Times New Roman" w:hAnsi="Garamond" w:cs="Arial"/>
          <w:color w:val="000000" w:themeColor="text1"/>
          <w:sz w:val="28"/>
          <w:szCs w:val="28"/>
          <w:lang w:eastAsia="fr-FR"/>
        </w:rPr>
        <w:t xml:space="preserve"> à Luther : </w:t>
      </w:r>
      <w:r w:rsidRPr="00641306">
        <w:rPr>
          <w:rFonts w:ascii="Garamond" w:eastAsia="Times New Roman" w:hAnsi="Garamond" w:cs="Arial"/>
          <w:b/>
          <w:bCs/>
          <w:color w:val="000000" w:themeColor="text1"/>
          <w:sz w:val="28"/>
          <w:szCs w:val="28"/>
          <w:lang w:eastAsia="fr-FR"/>
        </w:rPr>
        <w:t>Luther-Paul doit se convertir</w:t>
      </w:r>
      <w:r w:rsidRPr="00641306">
        <w:rPr>
          <w:rFonts w:ascii="Garamond" w:eastAsia="Times New Roman" w:hAnsi="Garamond" w:cs="Arial"/>
          <w:color w:val="000000" w:themeColor="text1"/>
          <w:sz w:val="28"/>
          <w:szCs w:val="28"/>
          <w:lang w:eastAsia="fr-FR"/>
        </w:rPr>
        <w:t xml:space="preserve">. </w:t>
      </w:r>
      <w:r>
        <w:rPr>
          <w:rFonts w:ascii="Garamond" w:eastAsia="Times New Roman" w:hAnsi="Garamond" w:cs="Arial"/>
          <w:color w:val="000000" w:themeColor="text1"/>
          <w:sz w:val="28"/>
          <w:szCs w:val="28"/>
          <w:lang w:eastAsia="fr-FR"/>
        </w:rPr>
        <w:t xml:space="preserve">De l’autre côté, comme nous le verrons, l’appel est le même mais concerne les autorités catholiques persécutant les protestants. </w:t>
      </w:r>
    </w:p>
    <w:p w14:paraId="13A7B26B" w14:textId="77777777" w:rsidR="00F8717B" w:rsidRPr="00A27AE4" w:rsidRDefault="00F8717B" w:rsidP="00F8717B">
      <w:pPr>
        <w:pStyle w:val="texte"/>
        <w:spacing w:before="0" w:beforeAutospacing="0" w:after="0" w:afterAutospacing="0"/>
        <w:jc w:val="both"/>
        <w:rPr>
          <w:rFonts w:ascii="Garamond" w:hAnsi="Garamond"/>
          <w:sz w:val="28"/>
          <w:szCs w:val="28"/>
        </w:rPr>
      </w:pPr>
      <w:r>
        <w:rPr>
          <w:rFonts w:ascii="Garamond" w:hAnsi="Garamond" w:cs="Arial"/>
          <w:color w:val="000000" w:themeColor="text1"/>
          <w:sz w:val="28"/>
          <w:szCs w:val="28"/>
        </w:rPr>
        <w:tab/>
        <w:t xml:space="preserve">Dans tous ces tableaux, Paul « chute » de cheval. Alors même que les textes bibliques n’en parlent pas ! </w:t>
      </w:r>
      <w:r w:rsidRPr="00A27AE4">
        <w:rPr>
          <w:rFonts w:ascii="Garamond" w:hAnsi="Garamond"/>
          <w:sz w:val="28"/>
          <w:szCs w:val="28"/>
        </w:rPr>
        <w:t>Ce cheval</w:t>
      </w:r>
      <w:r>
        <w:rPr>
          <w:rFonts w:ascii="Garamond" w:hAnsi="Garamond"/>
          <w:sz w:val="28"/>
          <w:szCs w:val="28"/>
        </w:rPr>
        <w:t xml:space="preserve"> sera</w:t>
      </w:r>
      <w:r w:rsidRPr="00A27AE4">
        <w:rPr>
          <w:rFonts w:ascii="Garamond" w:hAnsi="Garamond"/>
          <w:sz w:val="28"/>
          <w:szCs w:val="28"/>
        </w:rPr>
        <w:t xml:space="preserve"> sujet de polémique au temps de la Réforme</w:t>
      </w:r>
      <w:r>
        <w:rPr>
          <w:rFonts w:ascii="Garamond" w:hAnsi="Garamond"/>
          <w:sz w:val="28"/>
          <w:szCs w:val="28"/>
        </w:rPr>
        <w:t xml:space="preserve"> : </w:t>
      </w:r>
      <w:r w:rsidRPr="00A27AE4">
        <w:rPr>
          <w:rFonts w:ascii="Garamond" w:hAnsi="Garamond"/>
          <w:sz w:val="28"/>
          <w:szCs w:val="28"/>
        </w:rPr>
        <w:t>par fidélité au texte biblique</w:t>
      </w:r>
      <w:r>
        <w:rPr>
          <w:rFonts w:ascii="Garamond" w:hAnsi="Garamond"/>
          <w:sz w:val="28"/>
          <w:szCs w:val="28"/>
        </w:rPr>
        <w:t xml:space="preserve">, les artistes protestants </w:t>
      </w:r>
      <w:r w:rsidRPr="00A27AE4">
        <w:rPr>
          <w:rFonts w:ascii="Garamond" w:hAnsi="Garamond"/>
          <w:sz w:val="28"/>
          <w:szCs w:val="28"/>
        </w:rPr>
        <w:t>prôner</w:t>
      </w:r>
      <w:r>
        <w:rPr>
          <w:rFonts w:ascii="Garamond" w:hAnsi="Garamond"/>
          <w:sz w:val="28"/>
          <w:szCs w:val="28"/>
        </w:rPr>
        <w:t>ont</w:t>
      </w:r>
      <w:r w:rsidRPr="00A27AE4">
        <w:rPr>
          <w:rFonts w:ascii="Garamond" w:hAnsi="Garamond"/>
          <w:sz w:val="28"/>
          <w:szCs w:val="28"/>
        </w:rPr>
        <w:t xml:space="preserve"> sa disparition</w:t>
      </w:r>
      <w:r>
        <w:rPr>
          <w:rFonts w:ascii="Garamond" w:hAnsi="Garamond"/>
          <w:sz w:val="28"/>
          <w:szCs w:val="28"/>
        </w:rPr>
        <w:t>. Et pourtant, ils le peindront toujours à nouveau que ce soit Cranach ou Bruegel</w:t>
      </w:r>
      <w:r w:rsidRPr="00A27AE4">
        <w:rPr>
          <w:rFonts w:ascii="Garamond" w:hAnsi="Garamond"/>
          <w:sz w:val="28"/>
          <w:szCs w:val="28"/>
        </w:rPr>
        <w:t xml:space="preserve">. </w:t>
      </w:r>
      <w:r>
        <w:rPr>
          <w:rFonts w:ascii="Garamond" w:hAnsi="Garamond"/>
          <w:sz w:val="28"/>
          <w:szCs w:val="28"/>
        </w:rPr>
        <w:t>« </w:t>
      </w:r>
      <w:r w:rsidRPr="00A27AE4">
        <w:rPr>
          <w:rFonts w:ascii="Garamond" w:hAnsi="Garamond"/>
          <w:b/>
          <w:bCs/>
          <w:sz w:val="28"/>
          <w:szCs w:val="28"/>
        </w:rPr>
        <w:t>Il faut sans doute y voir, entre autres choses, une manière de souligner encore plus fortement l’abaissement de Paul tombé de ce qui symbolise la force et la puissance. Ainsi, la fidélité au récit biblique</w:t>
      </w:r>
      <w:r>
        <w:rPr>
          <w:rFonts w:ascii="Garamond" w:hAnsi="Garamond"/>
          <w:b/>
          <w:bCs/>
          <w:sz w:val="28"/>
          <w:szCs w:val="28"/>
        </w:rPr>
        <w:t xml:space="preserve"> </w:t>
      </w:r>
      <w:r w:rsidRPr="00A27AE4">
        <w:rPr>
          <w:rFonts w:ascii="Garamond" w:hAnsi="Garamond"/>
          <w:b/>
          <w:bCs/>
          <w:sz w:val="28"/>
          <w:szCs w:val="28"/>
        </w:rPr>
        <w:t xml:space="preserve">n’est pas forcément fidélité à la </w:t>
      </w:r>
      <w:r>
        <w:rPr>
          <w:rFonts w:ascii="Garamond" w:hAnsi="Garamond"/>
          <w:b/>
          <w:bCs/>
          <w:sz w:val="28"/>
          <w:szCs w:val="28"/>
        </w:rPr>
        <w:t>[lettre]</w:t>
      </w:r>
      <w:r w:rsidRPr="00A27AE4">
        <w:rPr>
          <w:rFonts w:ascii="Garamond" w:hAnsi="Garamond"/>
          <w:b/>
          <w:bCs/>
          <w:sz w:val="28"/>
          <w:szCs w:val="28"/>
        </w:rPr>
        <w:t xml:space="preserve"> des récits</w:t>
      </w:r>
      <w:r>
        <w:rPr>
          <w:rFonts w:ascii="Garamond" w:hAnsi="Garamond"/>
          <w:b/>
          <w:bCs/>
          <w:sz w:val="28"/>
          <w:szCs w:val="28"/>
        </w:rPr>
        <w:t> »</w:t>
      </w:r>
      <w:r>
        <w:rPr>
          <w:rStyle w:val="Appelnotedebasdep"/>
          <w:rFonts w:ascii="Garamond" w:hAnsi="Garamond"/>
          <w:b/>
          <w:bCs/>
          <w:sz w:val="28"/>
          <w:szCs w:val="28"/>
        </w:rPr>
        <w:footnoteReference w:id="1"/>
      </w:r>
      <w:r>
        <w:rPr>
          <w:rFonts w:ascii="Garamond" w:hAnsi="Garamond"/>
          <w:b/>
          <w:bCs/>
          <w:sz w:val="28"/>
          <w:szCs w:val="28"/>
        </w:rPr>
        <w:t xml:space="preserve"> </w:t>
      </w:r>
      <w:r w:rsidRPr="00A27AE4">
        <w:rPr>
          <w:rFonts w:ascii="Garamond" w:hAnsi="Garamond"/>
          <w:sz w:val="28"/>
          <w:szCs w:val="28"/>
        </w:rPr>
        <w:t xml:space="preserve">(l’esprit du texte plus que sa lettre). </w:t>
      </w:r>
    </w:p>
    <w:p w14:paraId="23745CFC" w14:textId="77777777" w:rsidR="00F8717B" w:rsidRDefault="00F8717B" w:rsidP="00F8717B">
      <w:pPr>
        <w:ind w:firstLine="708"/>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 xml:space="preserve">En gros, on peut classer les tableaux que nous avons vus en trois catégories : ceux qui font apparaître une lumière du ciel, conformément au texte des Actes, ceux qui peignent le Christ, avec ou sans croix dans le ciel, et ceux qui, tout en </w:t>
      </w:r>
      <w:r>
        <w:rPr>
          <w:rFonts w:ascii="Garamond" w:eastAsia="Times New Roman" w:hAnsi="Garamond" w:cs="Arial"/>
          <w:color w:val="000000" w:themeColor="text1"/>
          <w:sz w:val="28"/>
          <w:szCs w:val="28"/>
          <w:lang w:eastAsia="fr-FR"/>
        </w:rPr>
        <w:t>incluant la lumière, déplace la scène, lui donnant une signification plus large.</w:t>
      </w:r>
    </w:p>
    <w:p w14:paraId="421FE62B" w14:textId="77777777" w:rsidR="00F8717B" w:rsidRDefault="00F8717B" w:rsidP="00F8717B">
      <w:pPr>
        <w:jc w:val="both"/>
        <w:rPr>
          <w:rFonts w:ascii="Garamond" w:eastAsia="Times New Roman" w:hAnsi="Garamond" w:cs="Arial"/>
          <w:color w:val="000000" w:themeColor="text1"/>
          <w:sz w:val="28"/>
          <w:szCs w:val="28"/>
          <w:lang w:eastAsia="fr-FR"/>
        </w:rPr>
      </w:pPr>
    </w:p>
    <w:p w14:paraId="5CCDE96B" w14:textId="77777777" w:rsidR="00F8717B" w:rsidRDefault="00F8717B" w:rsidP="00F8717B">
      <w:pPr>
        <w:pStyle w:val="NormalWeb"/>
        <w:shd w:val="clear" w:color="auto" w:fill="FFFFFF"/>
        <w:spacing w:before="0" w:beforeAutospacing="0" w:after="0" w:afterAutospacing="0"/>
        <w:jc w:val="both"/>
        <w:textAlignment w:val="baseline"/>
        <w:rPr>
          <w:rFonts w:ascii="Garamond" w:hAnsi="Garamond"/>
          <w:color w:val="000000"/>
          <w:sz w:val="28"/>
          <w:szCs w:val="28"/>
        </w:rPr>
      </w:pPr>
      <w:r>
        <w:rPr>
          <w:rFonts w:ascii="Garamond" w:hAnsi="Garamond" w:cs="Arial"/>
          <w:color w:val="000000" w:themeColor="text1"/>
          <w:sz w:val="28"/>
          <w:szCs w:val="28"/>
        </w:rPr>
        <w:t xml:space="preserve">- </w:t>
      </w:r>
      <w:r w:rsidRPr="00A27AE4">
        <w:rPr>
          <w:rFonts w:ascii="Garamond" w:hAnsi="Garamond" w:cs="Arial"/>
          <w:b/>
          <w:bCs/>
          <w:color w:val="000000" w:themeColor="text1"/>
          <w:sz w:val="28"/>
          <w:szCs w:val="28"/>
        </w:rPr>
        <w:t>La lumière</w:t>
      </w:r>
      <w:r>
        <w:rPr>
          <w:rFonts w:ascii="Garamond" w:hAnsi="Garamond" w:cs="Arial"/>
          <w:color w:val="000000" w:themeColor="text1"/>
          <w:sz w:val="28"/>
          <w:szCs w:val="28"/>
        </w:rPr>
        <w:t xml:space="preserve"> : Dans certains tableaux, la lumière, présente dans les textes bibliques, terrasse Paul et ses amis. Il est en train de tomber de son cheval, ou déjà tombé, à terre, atterré, même. Dans le tableau de Luca </w:t>
      </w:r>
      <w:r w:rsidRPr="00A27AE4">
        <w:rPr>
          <w:rFonts w:ascii="Garamond" w:hAnsi="Garamond"/>
          <w:color w:val="000000"/>
          <w:sz w:val="28"/>
          <w:szCs w:val="28"/>
        </w:rPr>
        <w:t>Giordano</w:t>
      </w:r>
      <w:r>
        <w:rPr>
          <w:rFonts w:ascii="Garamond" w:hAnsi="Garamond"/>
          <w:color w:val="000000"/>
          <w:sz w:val="28"/>
          <w:szCs w:val="28"/>
        </w:rPr>
        <w:t xml:space="preserve"> (n°1)</w:t>
      </w:r>
      <w:r>
        <w:rPr>
          <w:rFonts w:ascii="Garamond" w:hAnsi="Garamond" w:cs="Arial"/>
          <w:color w:val="000000" w:themeColor="text1"/>
          <w:sz w:val="28"/>
          <w:szCs w:val="28"/>
        </w:rPr>
        <w:t>, l</w:t>
      </w:r>
      <w:r w:rsidRPr="00A27AE4">
        <w:rPr>
          <w:rFonts w:ascii="Garamond" w:hAnsi="Garamond"/>
          <w:color w:val="000000"/>
          <w:sz w:val="28"/>
          <w:szCs w:val="28"/>
        </w:rPr>
        <w:t xml:space="preserve">a lumière se dirige vers </w:t>
      </w:r>
      <w:r>
        <w:rPr>
          <w:rFonts w:ascii="Garamond" w:hAnsi="Garamond"/>
          <w:color w:val="000000"/>
          <w:sz w:val="28"/>
          <w:szCs w:val="28"/>
        </w:rPr>
        <w:t>Paul</w:t>
      </w:r>
      <w:r w:rsidRPr="00A27AE4">
        <w:rPr>
          <w:rFonts w:ascii="Garamond" w:hAnsi="Garamond"/>
          <w:color w:val="000000"/>
          <w:sz w:val="28"/>
          <w:szCs w:val="28"/>
        </w:rPr>
        <w:t xml:space="preserve"> et son bras se dirige vers le ciel en signe d’acquiescement. L’influence de la conversion de Paul décrite en</w:t>
      </w:r>
      <w:r w:rsidRPr="00A27AE4">
        <w:rPr>
          <w:rStyle w:val="apple-converted-space"/>
          <w:rFonts w:ascii="Garamond" w:hAnsi="Garamond"/>
          <w:color w:val="000000"/>
          <w:sz w:val="28"/>
          <w:szCs w:val="28"/>
        </w:rPr>
        <w:t> </w:t>
      </w:r>
      <w:proofErr w:type="spellStart"/>
      <w:r w:rsidRPr="00A27AE4">
        <w:rPr>
          <w:rFonts w:ascii="Garamond" w:hAnsi="Garamond"/>
          <w:color w:val="000000"/>
          <w:sz w:val="28"/>
          <w:szCs w:val="28"/>
        </w:rPr>
        <w:t>Ac</w:t>
      </w:r>
      <w:proofErr w:type="spellEnd"/>
      <w:r w:rsidRPr="00A27AE4">
        <w:rPr>
          <w:rFonts w:ascii="Garamond" w:hAnsi="Garamond"/>
          <w:color w:val="000000"/>
          <w:sz w:val="28"/>
          <w:szCs w:val="28"/>
        </w:rPr>
        <w:t> 26,9-18</w:t>
      </w:r>
      <w:r w:rsidRPr="00A27AE4">
        <w:rPr>
          <w:rStyle w:val="apple-converted-space"/>
          <w:rFonts w:ascii="Garamond" w:hAnsi="Garamond"/>
          <w:color w:val="000000"/>
          <w:sz w:val="28"/>
          <w:szCs w:val="28"/>
        </w:rPr>
        <w:t> </w:t>
      </w:r>
      <w:r w:rsidRPr="00A27AE4">
        <w:rPr>
          <w:rFonts w:ascii="Garamond" w:hAnsi="Garamond"/>
          <w:color w:val="000000"/>
          <w:sz w:val="28"/>
          <w:szCs w:val="28"/>
        </w:rPr>
        <w:t xml:space="preserve">apparaît prépondérante dans ce tableau. </w:t>
      </w:r>
      <w:r>
        <w:rPr>
          <w:rFonts w:ascii="Garamond" w:hAnsi="Garamond"/>
          <w:color w:val="000000"/>
          <w:sz w:val="28"/>
          <w:szCs w:val="28"/>
        </w:rPr>
        <w:t>L</w:t>
      </w:r>
      <w:r w:rsidRPr="00A27AE4">
        <w:rPr>
          <w:rFonts w:ascii="Garamond" w:hAnsi="Garamond"/>
          <w:color w:val="000000"/>
          <w:sz w:val="28"/>
          <w:szCs w:val="28"/>
        </w:rPr>
        <w:t>es compagnons</w:t>
      </w:r>
      <w:r>
        <w:rPr>
          <w:rFonts w:ascii="Garamond" w:hAnsi="Garamond"/>
          <w:color w:val="000000"/>
          <w:sz w:val="28"/>
          <w:szCs w:val="28"/>
        </w:rPr>
        <w:t xml:space="preserve"> de l’apôtre</w:t>
      </w:r>
      <w:r w:rsidRPr="00A27AE4">
        <w:rPr>
          <w:rFonts w:ascii="Garamond" w:hAnsi="Garamond"/>
          <w:color w:val="000000"/>
          <w:sz w:val="28"/>
          <w:szCs w:val="28"/>
        </w:rPr>
        <w:t xml:space="preserve"> sont non seulement témoins de l’événement</w:t>
      </w:r>
      <w:r>
        <w:rPr>
          <w:rFonts w:ascii="Garamond" w:hAnsi="Garamond"/>
          <w:color w:val="000000"/>
          <w:sz w:val="28"/>
          <w:szCs w:val="28"/>
        </w:rPr>
        <w:t xml:space="preserve"> mais</w:t>
      </w:r>
      <w:r w:rsidRPr="00A27AE4">
        <w:rPr>
          <w:rFonts w:ascii="Garamond" w:hAnsi="Garamond"/>
          <w:color w:val="000000"/>
          <w:sz w:val="28"/>
          <w:szCs w:val="28"/>
        </w:rPr>
        <w:t xml:space="preserve"> aussi saisis. La lumière les enveloppe tous, mais rien ne laisse croire à un dérangement auditif (propre </w:t>
      </w:r>
      <w:r>
        <w:rPr>
          <w:rFonts w:ascii="Garamond" w:hAnsi="Garamond"/>
          <w:color w:val="000000"/>
          <w:sz w:val="28"/>
          <w:szCs w:val="28"/>
        </w:rPr>
        <w:t>au récit d</w:t>
      </w:r>
      <w:r>
        <w:rPr>
          <w:rStyle w:val="apple-converted-space"/>
          <w:rFonts w:ascii="Garamond" w:hAnsi="Garamond"/>
          <w:color w:val="000000"/>
          <w:sz w:val="28"/>
          <w:szCs w:val="28"/>
        </w:rPr>
        <w:t>’</w:t>
      </w:r>
      <w:r w:rsidRPr="00A27AE4">
        <w:rPr>
          <w:rFonts w:ascii="Garamond" w:hAnsi="Garamond"/>
          <w:color w:val="000000"/>
          <w:sz w:val="28"/>
          <w:szCs w:val="28"/>
        </w:rPr>
        <w:t>Ac 22,3-11)</w:t>
      </w:r>
      <w:r>
        <w:rPr>
          <w:rFonts w:ascii="Garamond" w:hAnsi="Garamond"/>
          <w:color w:val="000000"/>
          <w:sz w:val="28"/>
          <w:szCs w:val="28"/>
        </w:rPr>
        <w:t>,</w:t>
      </w:r>
      <w:r w:rsidRPr="00A27AE4">
        <w:rPr>
          <w:rFonts w:ascii="Garamond" w:hAnsi="Garamond"/>
          <w:color w:val="000000"/>
          <w:sz w:val="28"/>
          <w:szCs w:val="28"/>
        </w:rPr>
        <w:t xml:space="preserve"> ni pour</w:t>
      </w:r>
      <w:r>
        <w:rPr>
          <w:rFonts w:ascii="Garamond" w:hAnsi="Garamond"/>
          <w:color w:val="000000"/>
          <w:sz w:val="28"/>
          <w:szCs w:val="28"/>
        </w:rPr>
        <w:t xml:space="preserve"> eux ni pour</w:t>
      </w:r>
      <w:r w:rsidRPr="00A27AE4">
        <w:rPr>
          <w:rFonts w:ascii="Garamond" w:hAnsi="Garamond"/>
          <w:color w:val="000000"/>
          <w:sz w:val="28"/>
          <w:szCs w:val="28"/>
        </w:rPr>
        <w:t xml:space="preserve"> Paul d’ailleurs (propre à</w:t>
      </w:r>
      <w:r w:rsidRPr="00A27AE4">
        <w:rPr>
          <w:rStyle w:val="apple-converted-space"/>
          <w:rFonts w:ascii="Garamond" w:hAnsi="Garamond"/>
          <w:color w:val="000000"/>
          <w:sz w:val="28"/>
          <w:szCs w:val="28"/>
        </w:rPr>
        <w:t> </w:t>
      </w:r>
      <w:proofErr w:type="spellStart"/>
      <w:r w:rsidRPr="00A27AE4">
        <w:rPr>
          <w:rFonts w:ascii="Garamond" w:hAnsi="Garamond"/>
          <w:color w:val="000000"/>
          <w:sz w:val="28"/>
          <w:szCs w:val="28"/>
        </w:rPr>
        <w:t>Ac</w:t>
      </w:r>
      <w:proofErr w:type="spellEnd"/>
      <w:r w:rsidRPr="00A27AE4">
        <w:rPr>
          <w:rFonts w:ascii="Garamond" w:hAnsi="Garamond"/>
          <w:color w:val="000000"/>
          <w:sz w:val="28"/>
          <w:szCs w:val="28"/>
        </w:rPr>
        <w:t> 9,1-9). Toutefois, le visage de Paul, l’orientation de son torse, de son visage, de ses yeux et</w:t>
      </w:r>
      <w:r>
        <w:rPr>
          <w:rFonts w:ascii="Garamond" w:hAnsi="Garamond"/>
          <w:color w:val="000000"/>
          <w:sz w:val="28"/>
          <w:szCs w:val="28"/>
        </w:rPr>
        <w:t xml:space="preserve"> </w:t>
      </w:r>
      <w:r w:rsidRPr="00A27AE4">
        <w:rPr>
          <w:rFonts w:ascii="Garamond" w:hAnsi="Garamond"/>
          <w:color w:val="000000"/>
          <w:sz w:val="28"/>
          <w:szCs w:val="28"/>
        </w:rPr>
        <w:t>l’ouverture de sa bouche laissent envisager un dialogue avec la lumière et un engagement de sa part.</w:t>
      </w:r>
    </w:p>
    <w:p w14:paraId="628099FE" w14:textId="77777777" w:rsidR="00F8717B" w:rsidRDefault="00F8717B" w:rsidP="00F8717B">
      <w:pPr>
        <w:pStyle w:val="NormalWeb"/>
        <w:shd w:val="clear" w:color="auto" w:fill="FFFFFF"/>
        <w:spacing w:before="0" w:beforeAutospacing="0" w:after="0" w:afterAutospacing="0"/>
        <w:jc w:val="both"/>
        <w:textAlignment w:val="baseline"/>
        <w:rPr>
          <w:rFonts w:ascii="Garamond" w:hAnsi="Garamond" w:cs="Arial"/>
          <w:color w:val="000000" w:themeColor="text1"/>
          <w:sz w:val="28"/>
          <w:szCs w:val="28"/>
        </w:rPr>
      </w:pPr>
      <w:r>
        <w:rPr>
          <w:rFonts w:ascii="Garamond" w:hAnsi="Garamond"/>
          <w:color w:val="000000"/>
          <w:sz w:val="28"/>
          <w:szCs w:val="28"/>
        </w:rPr>
        <w:tab/>
        <w:t xml:space="preserve">À l’opposé, </w:t>
      </w:r>
      <w:r>
        <w:rPr>
          <w:rFonts w:ascii="Garamond" w:hAnsi="Garamond" w:cs="Arial"/>
          <w:color w:val="000000" w:themeColor="text1"/>
          <w:sz w:val="28"/>
          <w:szCs w:val="28"/>
        </w:rPr>
        <w:t>l</w:t>
      </w:r>
      <w:r w:rsidRPr="00641306">
        <w:rPr>
          <w:rFonts w:ascii="Garamond" w:hAnsi="Garamond" w:cs="Arial"/>
          <w:color w:val="000000" w:themeColor="text1"/>
          <w:sz w:val="28"/>
          <w:szCs w:val="28"/>
        </w:rPr>
        <w:t xml:space="preserve">e tableau de </w:t>
      </w:r>
      <w:proofErr w:type="spellStart"/>
      <w:r w:rsidRPr="00641306">
        <w:rPr>
          <w:rFonts w:ascii="Garamond" w:hAnsi="Garamond" w:cs="Arial"/>
          <w:color w:val="000000" w:themeColor="text1"/>
          <w:sz w:val="28"/>
          <w:szCs w:val="28"/>
        </w:rPr>
        <w:t>Parmigianino</w:t>
      </w:r>
      <w:proofErr w:type="spellEnd"/>
      <w:r w:rsidRPr="00641306">
        <w:rPr>
          <w:rFonts w:ascii="Garamond" w:hAnsi="Garamond" w:cs="Arial"/>
          <w:color w:val="000000" w:themeColor="text1"/>
          <w:sz w:val="28"/>
          <w:szCs w:val="28"/>
        </w:rPr>
        <w:t xml:space="preserve"> (le Parmesan</w:t>
      </w:r>
      <w:r>
        <w:rPr>
          <w:rFonts w:ascii="Garamond" w:hAnsi="Garamond" w:cs="Arial"/>
          <w:color w:val="000000" w:themeColor="text1"/>
          <w:sz w:val="28"/>
          <w:szCs w:val="28"/>
        </w:rPr>
        <w:t xml:space="preserve"> n°2</w:t>
      </w:r>
      <w:r w:rsidRPr="00641306">
        <w:rPr>
          <w:rFonts w:ascii="Garamond" w:hAnsi="Garamond" w:cs="Arial"/>
          <w:color w:val="000000" w:themeColor="text1"/>
          <w:sz w:val="28"/>
          <w:szCs w:val="28"/>
        </w:rPr>
        <w:t>)</w:t>
      </w:r>
      <w:r>
        <w:rPr>
          <w:rFonts w:ascii="Garamond" w:hAnsi="Garamond" w:cs="Arial"/>
          <w:color w:val="000000" w:themeColor="text1"/>
          <w:sz w:val="28"/>
          <w:szCs w:val="28"/>
        </w:rPr>
        <w:t>, tout en insistant sur la lumière,</w:t>
      </w:r>
      <w:r w:rsidRPr="00641306">
        <w:rPr>
          <w:rFonts w:ascii="Garamond" w:hAnsi="Garamond" w:cs="Arial"/>
          <w:color w:val="000000" w:themeColor="text1"/>
          <w:sz w:val="28"/>
          <w:szCs w:val="28"/>
        </w:rPr>
        <w:t xml:space="preserve"> </w:t>
      </w:r>
      <w:r w:rsidRPr="00641306">
        <w:rPr>
          <w:rFonts w:ascii="Garamond" w:hAnsi="Garamond" w:cs="Arial"/>
          <w:b/>
          <w:bCs/>
          <w:color w:val="000000" w:themeColor="text1"/>
          <w:sz w:val="28"/>
          <w:szCs w:val="28"/>
        </w:rPr>
        <w:t xml:space="preserve">illustre </w:t>
      </w:r>
      <w:r>
        <w:rPr>
          <w:rFonts w:ascii="Garamond" w:hAnsi="Garamond" w:cs="Arial"/>
          <w:b/>
          <w:bCs/>
          <w:color w:val="000000" w:themeColor="text1"/>
          <w:sz w:val="28"/>
          <w:szCs w:val="28"/>
        </w:rPr>
        <w:t xml:space="preserve">plutôt </w:t>
      </w:r>
      <w:r w:rsidRPr="00641306">
        <w:rPr>
          <w:rFonts w:ascii="Garamond" w:hAnsi="Garamond" w:cs="Arial"/>
          <w:b/>
          <w:bCs/>
          <w:color w:val="000000" w:themeColor="text1"/>
          <w:sz w:val="28"/>
          <w:szCs w:val="28"/>
        </w:rPr>
        <w:t>le passage de Galates 1, ou l’extase de 2</w:t>
      </w:r>
      <w:r w:rsidRPr="00A27AE4">
        <w:rPr>
          <w:rFonts w:ascii="Garamond" w:hAnsi="Garamond" w:cs="Arial"/>
          <w:b/>
          <w:bCs/>
          <w:color w:val="000000" w:themeColor="text1"/>
          <w:sz w:val="28"/>
          <w:szCs w:val="28"/>
        </w:rPr>
        <w:t xml:space="preserve"> </w:t>
      </w:r>
      <w:r w:rsidRPr="00641306">
        <w:rPr>
          <w:rFonts w:ascii="Garamond" w:hAnsi="Garamond" w:cs="Arial"/>
          <w:b/>
          <w:bCs/>
          <w:color w:val="000000" w:themeColor="text1"/>
          <w:sz w:val="28"/>
          <w:szCs w:val="28"/>
        </w:rPr>
        <w:t>Corinthiens 12,1-7, plus que le récit des Actes.</w:t>
      </w:r>
      <w:r w:rsidRPr="00A27AE4">
        <w:rPr>
          <w:rFonts w:ascii="Garamond" w:hAnsi="Garamond" w:cs="Arial"/>
          <w:b/>
          <w:bCs/>
          <w:color w:val="000000" w:themeColor="text1"/>
          <w:sz w:val="28"/>
          <w:szCs w:val="28"/>
        </w:rPr>
        <w:t xml:space="preserve"> </w:t>
      </w:r>
      <w:r w:rsidRPr="00641306">
        <w:rPr>
          <w:rFonts w:ascii="Garamond" w:hAnsi="Garamond" w:cs="Arial"/>
          <w:b/>
          <w:bCs/>
          <w:color w:val="000000" w:themeColor="text1"/>
          <w:sz w:val="28"/>
          <w:szCs w:val="28"/>
        </w:rPr>
        <w:t>Parmesan dégag</w:t>
      </w:r>
      <w:r>
        <w:rPr>
          <w:rFonts w:ascii="Garamond" w:hAnsi="Garamond" w:cs="Arial"/>
          <w:b/>
          <w:bCs/>
          <w:color w:val="000000" w:themeColor="text1"/>
          <w:sz w:val="28"/>
          <w:szCs w:val="28"/>
        </w:rPr>
        <w:t>e de ces récits</w:t>
      </w:r>
      <w:r w:rsidRPr="00641306">
        <w:rPr>
          <w:rFonts w:ascii="Garamond" w:hAnsi="Garamond" w:cs="Arial"/>
          <w:b/>
          <w:bCs/>
          <w:color w:val="000000" w:themeColor="text1"/>
          <w:sz w:val="28"/>
          <w:szCs w:val="28"/>
        </w:rPr>
        <w:t xml:space="preserve"> l’idée de solitude et d’exception, Paul étant celui qui se dit « mis à part » et qui va d’abord s’isoler en Arabie</w:t>
      </w:r>
      <w:r w:rsidRPr="00641306">
        <w:rPr>
          <w:rFonts w:ascii="Garamond" w:hAnsi="Garamond" w:cs="Arial"/>
          <w:color w:val="000000" w:themeColor="text1"/>
          <w:sz w:val="28"/>
          <w:szCs w:val="28"/>
        </w:rPr>
        <w:t>.</w:t>
      </w:r>
      <w:r>
        <w:rPr>
          <w:rFonts w:ascii="Garamond" w:hAnsi="Garamond" w:cs="Arial"/>
          <w:color w:val="000000" w:themeColor="text1"/>
          <w:sz w:val="28"/>
          <w:szCs w:val="28"/>
        </w:rPr>
        <w:t xml:space="preserve"> </w:t>
      </w:r>
    </w:p>
    <w:p w14:paraId="7AA0833B" w14:textId="77777777" w:rsidR="00F8717B" w:rsidRDefault="00F8717B" w:rsidP="00F8717B">
      <w:pPr>
        <w:pStyle w:val="NormalWeb"/>
        <w:shd w:val="clear" w:color="auto" w:fill="FFFFFF"/>
        <w:spacing w:before="0" w:beforeAutospacing="0" w:after="0" w:afterAutospacing="0"/>
        <w:jc w:val="both"/>
        <w:textAlignment w:val="baseline"/>
        <w:rPr>
          <w:rFonts w:ascii="Garamond" w:hAnsi="Garamond"/>
          <w:color w:val="000000"/>
          <w:sz w:val="28"/>
          <w:szCs w:val="28"/>
        </w:rPr>
      </w:pPr>
      <w:r>
        <w:rPr>
          <w:rFonts w:ascii="Garamond" w:hAnsi="Garamond" w:cs="Arial"/>
          <w:color w:val="000000" w:themeColor="text1"/>
          <w:sz w:val="28"/>
          <w:szCs w:val="28"/>
        </w:rPr>
        <w:lastRenderedPageBreak/>
        <w:tab/>
        <w:t xml:space="preserve">Le tableau de Jacopo Palma (n°5) s’inspire aussi d’Ac 26. </w:t>
      </w:r>
      <w:r w:rsidRPr="00A27AE4">
        <w:rPr>
          <w:rFonts w:ascii="Garamond" w:hAnsi="Garamond"/>
          <w:color w:val="000000"/>
          <w:sz w:val="28"/>
          <w:szCs w:val="28"/>
        </w:rPr>
        <w:t xml:space="preserve">L’illustration de la lumière, sans représentation humaine de Jésus, invite à comprendre que </w:t>
      </w:r>
      <w:r w:rsidRPr="00A27AE4">
        <w:rPr>
          <w:rFonts w:ascii="Garamond" w:hAnsi="Garamond"/>
          <w:b/>
          <w:bCs/>
          <w:color w:val="000000"/>
          <w:sz w:val="28"/>
          <w:szCs w:val="28"/>
        </w:rPr>
        <w:t>la conversion de Paul est une expérience de Dieu au sens large</w:t>
      </w:r>
      <w:r w:rsidRPr="00A27AE4">
        <w:rPr>
          <w:rFonts w:ascii="Garamond" w:hAnsi="Garamond"/>
          <w:color w:val="000000"/>
          <w:sz w:val="28"/>
          <w:szCs w:val="28"/>
        </w:rPr>
        <w:t xml:space="preserve">. Bien que le dialogue du texte précise que cette lumière est Jésus, l’artiste a préféré n’illustrer que la luminosité et ainsi, accentuer les dimensions éblouissantes et transformatrices de cette expérience. Cela est très bien exprimé par l’importance de la lumière sur les corps de Paul et ses compagnons. </w:t>
      </w:r>
      <w:r w:rsidRPr="00A27AE4">
        <w:rPr>
          <w:rFonts w:ascii="Garamond" w:hAnsi="Garamond"/>
          <w:b/>
          <w:bCs/>
          <w:color w:val="000000"/>
          <w:sz w:val="28"/>
          <w:szCs w:val="28"/>
        </w:rPr>
        <w:t xml:space="preserve">Cette lumière </w:t>
      </w:r>
      <w:r>
        <w:rPr>
          <w:rFonts w:ascii="Garamond" w:hAnsi="Garamond"/>
          <w:b/>
          <w:bCs/>
          <w:color w:val="000000"/>
          <w:sz w:val="28"/>
          <w:szCs w:val="28"/>
        </w:rPr>
        <w:t>est une invitation à se positionner</w:t>
      </w:r>
      <w:r w:rsidRPr="00A27AE4">
        <w:rPr>
          <w:rFonts w:ascii="Garamond" w:hAnsi="Garamond"/>
          <w:color w:val="000000"/>
          <w:sz w:val="28"/>
          <w:szCs w:val="28"/>
        </w:rPr>
        <w:t xml:space="preserve">. </w:t>
      </w:r>
      <w:r>
        <w:rPr>
          <w:rFonts w:ascii="Garamond" w:hAnsi="Garamond"/>
          <w:color w:val="000000"/>
          <w:sz w:val="28"/>
          <w:szCs w:val="28"/>
        </w:rPr>
        <w:t xml:space="preserve">On peut lui tourner le dos, s’en éloigner, fuir ou « faire face », comme Paul dans le tableau. </w:t>
      </w:r>
    </w:p>
    <w:p w14:paraId="7AD76617" w14:textId="77777777" w:rsidR="00F8717B" w:rsidRDefault="00F8717B" w:rsidP="00F8717B">
      <w:pPr>
        <w:pStyle w:val="NormalWeb"/>
        <w:shd w:val="clear" w:color="auto" w:fill="FFFFFF"/>
        <w:spacing w:before="0" w:beforeAutospacing="0" w:after="0" w:afterAutospacing="0"/>
        <w:jc w:val="both"/>
        <w:textAlignment w:val="baseline"/>
        <w:rPr>
          <w:rFonts w:ascii="Garamond" w:hAnsi="Garamond"/>
          <w:color w:val="000000"/>
          <w:sz w:val="28"/>
          <w:szCs w:val="28"/>
        </w:rPr>
      </w:pPr>
    </w:p>
    <w:p w14:paraId="347483B5" w14:textId="77777777" w:rsidR="00F8717B" w:rsidRDefault="00F8717B" w:rsidP="00F8717B">
      <w:pPr>
        <w:pStyle w:val="NormalWeb"/>
        <w:shd w:val="clear" w:color="auto" w:fill="FFFFFF"/>
        <w:spacing w:before="0" w:beforeAutospacing="0" w:after="0" w:afterAutospacing="0"/>
        <w:jc w:val="both"/>
        <w:textAlignment w:val="baseline"/>
        <w:rPr>
          <w:rFonts w:ascii="Garamond" w:hAnsi="Garamond"/>
          <w:color w:val="000000"/>
          <w:sz w:val="28"/>
          <w:szCs w:val="28"/>
        </w:rPr>
      </w:pPr>
      <w:r>
        <w:rPr>
          <w:rFonts w:ascii="Garamond" w:hAnsi="Garamond"/>
          <w:color w:val="000000"/>
          <w:sz w:val="28"/>
          <w:szCs w:val="28"/>
        </w:rPr>
        <w:t xml:space="preserve">- </w:t>
      </w:r>
      <w:r w:rsidRPr="00A27AE4">
        <w:rPr>
          <w:rFonts w:ascii="Garamond" w:hAnsi="Garamond"/>
          <w:b/>
          <w:bCs/>
          <w:color w:val="000000"/>
          <w:sz w:val="28"/>
          <w:szCs w:val="28"/>
        </w:rPr>
        <w:t>Le Christ</w:t>
      </w:r>
      <w:r>
        <w:rPr>
          <w:rFonts w:ascii="Garamond" w:hAnsi="Garamond"/>
          <w:color w:val="000000"/>
          <w:sz w:val="28"/>
          <w:szCs w:val="28"/>
        </w:rPr>
        <w:t xml:space="preserve"> : Certains artistes ont préféré mettre l’accent sur le Christ lui-même, avec ou sans lumière (n°8 à 15). La plupart du temps, il s’agit du Christ crucifié, portant sa croix. Dans un tableau, ou deux, cela semble pourtant être Dieu. Dans un, le Christ apparaît sans la croix, dans des oripeaux rouges (n°11), signe de sa victoire, par la résurrection. </w:t>
      </w:r>
      <w:r w:rsidRPr="00B26890">
        <w:rPr>
          <w:rFonts w:ascii="Garamond" w:hAnsi="Garamond"/>
          <w:b/>
          <w:bCs/>
          <w:color w:val="000000"/>
          <w:sz w:val="28"/>
          <w:szCs w:val="28"/>
        </w:rPr>
        <w:t>Ces tableaux vont plus loin que les récits bibliques. Paul dit qu’il voit une lumière et entend la voix de Jésus. Mais il ne dit pas qu’il voit Jésus et encore moins Jésus portant sa croix</w:t>
      </w:r>
      <w:r>
        <w:rPr>
          <w:rFonts w:ascii="Garamond" w:hAnsi="Garamond"/>
          <w:color w:val="000000"/>
          <w:sz w:val="28"/>
          <w:szCs w:val="28"/>
        </w:rPr>
        <w:t xml:space="preserve">. </w:t>
      </w:r>
    </w:p>
    <w:p w14:paraId="74ED7A43" w14:textId="77777777" w:rsidR="00F8717B" w:rsidRPr="00A27AE4" w:rsidRDefault="00F8717B" w:rsidP="00F8717B">
      <w:pPr>
        <w:pStyle w:val="NormalWeb"/>
        <w:shd w:val="clear" w:color="auto" w:fill="FFFFFF"/>
        <w:spacing w:before="0" w:beforeAutospacing="0" w:after="0" w:afterAutospacing="0"/>
        <w:jc w:val="both"/>
        <w:textAlignment w:val="baseline"/>
        <w:rPr>
          <w:rFonts w:ascii="Garamond" w:hAnsi="Garamond"/>
          <w:color w:val="000000"/>
          <w:sz w:val="28"/>
          <w:szCs w:val="28"/>
        </w:rPr>
      </w:pPr>
    </w:p>
    <w:p w14:paraId="55784F6E" w14:textId="77777777" w:rsidR="00F8717B" w:rsidRDefault="00F8717B" w:rsidP="00F8717B">
      <w:pPr>
        <w:pStyle w:val="texte"/>
        <w:spacing w:before="0" w:beforeAutospacing="0" w:after="0" w:afterAutospacing="0"/>
        <w:jc w:val="both"/>
        <w:rPr>
          <w:rFonts w:ascii="Garamond" w:hAnsi="Garamond"/>
          <w:sz w:val="28"/>
          <w:szCs w:val="28"/>
        </w:rPr>
      </w:pPr>
      <w:r>
        <w:rPr>
          <w:rFonts w:ascii="Garamond" w:hAnsi="Garamond"/>
          <w:sz w:val="28"/>
          <w:szCs w:val="28"/>
        </w:rPr>
        <w:t xml:space="preserve">- </w:t>
      </w:r>
      <w:r w:rsidRPr="00A27AE4">
        <w:rPr>
          <w:rFonts w:ascii="Garamond" w:hAnsi="Garamond"/>
          <w:b/>
          <w:bCs/>
          <w:sz w:val="28"/>
          <w:szCs w:val="28"/>
        </w:rPr>
        <w:t>Ouverture politique</w:t>
      </w:r>
      <w:r>
        <w:rPr>
          <w:rFonts w:ascii="Garamond" w:hAnsi="Garamond"/>
          <w:sz w:val="28"/>
          <w:szCs w:val="28"/>
        </w:rPr>
        <w:t xml:space="preserve"> : Dans certains tableaux (16-19), </w:t>
      </w:r>
      <w:r w:rsidRPr="00A27AE4">
        <w:rPr>
          <w:rFonts w:ascii="Garamond" w:hAnsi="Garamond"/>
          <w:b/>
          <w:bCs/>
          <w:sz w:val="28"/>
          <w:szCs w:val="28"/>
        </w:rPr>
        <w:t xml:space="preserve">« La conversion de Paul » revêt une dimension politique. </w:t>
      </w:r>
      <w:r>
        <w:rPr>
          <w:rFonts w:ascii="Garamond" w:hAnsi="Garamond"/>
          <w:b/>
          <w:bCs/>
          <w:sz w:val="28"/>
          <w:szCs w:val="28"/>
        </w:rPr>
        <w:t xml:space="preserve">C’est le cas de </w:t>
      </w:r>
      <w:proofErr w:type="spellStart"/>
      <w:r w:rsidRPr="00A27AE4">
        <w:rPr>
          <w:rFonts w:ascii="Garamond" w:hAnsi="Garamond"/>
          <w:b/>
          <w:bCs/>
          <w:sz w:val="28"/>
          <w:szCs w:val="28"/>
        </w:rPr>
        <w:t>Brüegel</w:t>
      </w:r>
      <w:proofErr w:type="spellEnd"/>
      <w:r w:rsidRPr="00A27AE4">
        <w:rPr>
          <w:rFonts w:ascii="Garamond" w:hAnsi="Garamond"/>
          <w:b/>
          <w:bCs/>
          <w:sz w:val="28"/>
          <w:szCs w:val="28"/>
        </w:rPr>
        <w:t xml:space="preserve"> l’Ancien</w:t>
      </w:r>
      <w:r w:rsidRPr="00A27AE4">
        <w:rPr>
          <w:rFonts w:ascii="Garamond" w:hAnsi="Garamond"/>
          <w:sz w:val="28"/>
          <w:szCs w:val="28"/>
        </w:rPr>
        <w:t xml:space="preserve"> (1525/30-1569) </w:t>
      </w:r>
      <w:r>
        <w:rPr>
          <w:rFonts w:ascii="Garamond" w:hAnsi="Garamond"/>
          <w:sz w:val="28"/>
          <w:szCs w:val="28"/>
        </w:rPr>
        <w:t>On voit u</w:t>
      </w:r>
      <w:r w:rsidRPr="00A27AE4">
        <w:rPr>
          <w:rFonts w:ascii="Garamond" w:hAnsi="Garamond"/>
          <w:sz w:val="28"/>
          <w:szCs w:val="28"/>
        </w:rPr>
        <w:t xml:space="preserve">n cavalier noir, représenté de dos, mis en évidence au premier plan du tableau, </w:t>
      </w:r>
      <w:r>
        <w:rPr>
          <w:rFonts w:ascii="Garamond" w:hAnsi="Garamond"/>
          <w:sz w:val="28"/>
          <w:szCs w:val="28"/>
        </w:rPr>
        <w:t xml:space="preserve">qui </w:t>
      </w:r>
      <w:r w:rsidRPr="00A27AE4">
        <w:rPr>
          <w:rFonts w:ascii="Garamond" w:hAnsi="Garamond"/>
          <w:sz w:val="28"/>
          <w:szCs w:val="28"/>
        </w:rPr>
        <w:t xml:space="preserve">observe Paul tombé à terre. </w:t>
      </w:r>
      <w:r w:rsidRPr="00B26890">
        <w:rPr>
          <w:rFonts w:ascii="Garamond" w:hAnsi="Garamond"/>
          <w:b/>
          <w:bCs/>
          <w:sz w:val="28"/>
          <w:szCs w:val="28"/>
        </w:rPr>
        <w:t xml:space="preserve">On y discerne habituellement l’espoir, chez </w:t>
      </w:r>
      <w:proofErr w:type="spellStart"/>
      <w:r w:rsidRPr="00B26890">
        <w:rPr>
          <w:rFonts w:ascii="Garamond" w:hAnsi="Garamond"/>
          <w:b/>
          <w:bCs/>
          <w:sz w:val="28"/>
          <w:szCs w:val="28"/>
        </w:rPr>
        <w:t>Brüegel</w:t>
      </w:r>
      <w:proofErr w:type="spellEnd"/>
      <w:r w:rsidRPr="00B26890">
        <w:rPr>
          <w:rFonts w:ascii="Garamond" w:hAnsi="Garamond"/>
          <w:b/>
          <w:bCs/>
          <w:sz w:val="28"/>
          <w:szCs w:val="28"/>
        </w:rPr>
        <w:t xml:space="preserve">, d’une </w:t>
      </w:r>
      <w:r w:rsidRPr="00B26890">
        <w:rPr>
          <w:rFonts w:ascii="Garamond" w:hAnsi="Garamond"/>
          <w:b/>
          <w:bCs/>
          <w:sz w:val="28"/>
          <w:szCs w:val="28"/>
        </w:rPr>
        <w:t>conversion du duc d’Albe qui exerce alors</w:t>
      </w:r>
      <w:r w:rsidRPr="00A27AE4">
        <w:rPr>
          <w:rFonts w:ascii="Garamond" w:hAnsi="Garamond"/>
          <w:sz w:val="28"/>
          <w:szCs w:val="28"/>
        </w:rPr>
        <w:t xml:space="preserve"> (nous sommes en 1567) </w:t>
      </w:r>
      <w:r w:rsidRPr="00B26890">
        <w:rPr>
          <w:rFonts w:ascii="Garamond" w:hAnsi="Garamond"/>
          <w:b/>
          <w:bCs/>
          <w:sz w:val="28"/>
          <w:szCs w:val="28"/>
        </w:rPr>
        <w:t>une répression féroce contre les provinces hollandaises (protestantes).</w:t>
      </w:r>
    </w:p>
    <w:p w14:paraId="038C08CE" w14:textId="77777777" w:rsidR="00F8717B" w:rsidRPr="00B26890" w:rsidRDefault="00F8717B" w:rsidP="00F8717B">
      <w:pPr>
        <w:pStyle w:val="texte"/>
        <w:spacing w:before="0" w:beforeAutospacing="0" w:after="0" w:afterAutospacing="0"/>
        <w:jc w:val="both"/>
        <w:rPr>
          <w:rFonts w:ascii="Garamond" w:hAnsi="Garamond"/>
          <w:sz w:val="28"/>
          <w:szCs w:val="28"/>
          <w:u w:val="single"/>
        </w:rPr>
      </w:pPr>
      <w:r>
        <w:rPr>
          <w:rFonts w:ascii="Garamond" w:hAnsi="Garamond"/>
          <w:sz w:val="28"/>
          <w:szCs w:val="28"/>
        </w:rPr>
        <w:tab/>
      </w:r>
      <w:r w:rsidRPr="00B26890">
        <w:rPr>
          <w:rFonts w:ascii="Garamond" w:hAnsi="Garamond"/>
          <w:sz w:val="28"/>
          <w:szCs w:val="28"/>
          <w:u w:val="single"/>
        </w:rPr>
        <w:t xml:space="preserve">Cette dimension politique se retrouve dans les tableaux de Lucas Cranach. </w:t>
      </w:r>
    </w:p>
    <w:p w14:paraId="2E3A7225" w14:textId="77777777" w:rsidR="00F8717B" w:rsidRPr="00A27AE4" w:rsidRDefault="00F8717B" w:rsidP="00F8717B">
      <w:pPr>
        <w:pStyle w:val="texte"/>
        <w:spacing w:before="0" w:beforeAutospacing="0" w:after="0" w:afterAutospacing="0"/>
        <w:ind w:firstLine="708"/>
        <w:jc w:val="both"/>
        <w:rPr>
          <w:rFonts w:ascii="Garamond" w:hAnsi="Garamond"/>
          <w:sz w:val="28"/>
          <w:szCs w:val="28"/>
        </w:rPr>
      </w:pPr>
      <w:r w:rsidRPr="00B26890">
        <w:rPr>
          <w:rFonts w:ascii="Garamond" w:hAnsi="Garamond"/>
          <w:b/>
          <w:bCs/>
          <w:sz w:val="28"/>
          <w:szCs w:val="28"/>
        </w:rPr>
        <w:t>Cette dimension politique nous renvoie à l’essentiel des récits de conversion de Paul</w:t>
      </w:r>
      <w:r>
        <w:rPr>
          <w:rFonts w:ascii="Garamond" w:hAnsi="Garamond"/>
          <w:sz w:val="28"/>
          <w:szCs w:val="28"/>
        </w:rPr>
        <w:t xml:space="preserve">, tant dans le livre des Actes que dans les récits que nous donne à entendre Paul. </w:t>
      </w:r>
    </w:p>
    <w:p w14:paraId="1339CED5" w14:textId="77777777" w:rsidR="00F8717B" w:rsidRPr="00A27AE4" w:rsidRDefault="00F8717B" w:rsidP="00F8717B">
      <w:pPr>
        <w:pStyle w:val="texte"/>
        <w:spacing w:before="0" w:beforeAutospacing="0" w:after="0" w:afterAutospacing="0"/>
        <w:ind w:firstLine="708"/>
        <w:jc w:val="both"/>
        <w:rPr>
          <w:rFonts w:ascii="Garamond" w:hAnsi="Garamond"/>
          <w:sz w:val="28"/>
          <w:szCs w:val="28"/>
        </w:rPr>
      </w:pPr>
      <w:r>
        <w:rPr>
          <w:rFonts w:ascii="Garamond" w:hAnsi="Garamond"/>
          <w:sz w:val="28"/>
          <w:szCs w:val="28"/>
        </w:rPr>
        <w:t xml:space="preserve">Il faut bien voir que dans les Actes, la conversion de Paul </w:t>
      </w:r>
      <w:r w:rsidRPr="00A27AE4">
        <w:rPr>
          <w:rFonts w:ascii="Garamond" w:hAnsi="Garamond"/>
          <w:sz w:val="28"/>
          <w:szCs w:val="28"/>
        </w:rPr>
        <w:t xml:space="preserve">constitue la dernière d’une série de conversions : </w:t>
      </w:r>
      <w:r>
        <w:rPr>
          <w:rFonts w:ascii="Garamond" w:hAnsi="Garamond"/>
          <w:sz w:val="28"/>
          <w:szCs w:val="28"/>
        </w:rPr>
        <w:t xml:space="preserve">après celle de </w:t>
      </w:r>
      <w:r w:rsidRPr="00A27AE4">
        <w:rPr>
          <w:rFonts w:ascii="Garamond" w:hAnsi="Garamond"/>
          <w:sz w:val="28"/>
          <w:szCs w:val="28"/>
        </w:rPr>
        <w:t>Simon le mage (8,4-25)</w:t>
      </w:r>
      <w:r>
        <w:rPr>
          <w:rFonts w:ascii="Garamond" w:hAnsi="Garamond"/>
          <w:sz w:val="28"/>
          <w:szCs w:val="28"/>
        </w:rPr>
        <w:t xml:space="preserve"> et</w:t>
      </w:r>
      <w:r w:rsidRPr="00A27AE4">
        <w:rPr>
          <w:rFonts w:ascii="Garamond" w:hAnsi="Garamond"/>
          <w:sz w:val="28"/>
          <w:szCs w:val="28"/>
        </w:rPr>
        <w:t xml:space="preserve"> </w:t>
      </w:r>
      <w:r>
        <w:rPr>
          <w:rFonts w:ascii="Garamond" w:hAnsi="Garamond"/>
          <w:sz w:val="28"/>
          <w:szCs w:val="28"/>
        </w:rPr>
        <w:t xml:space="preserve">celle de </w:t>
      </w:r>
      <w:r w:rsidRPr="00A27AE4">
        <w:rPr>
          <w:rFonts w:ascii="Garamond" w:hAnsi="Garamond"/>
          <w:sz w:val="28"/>
          <w:szCs w:val="28"/>
        </w:rPr>
        <w:t xml:space="preserve">l’eunuque </w:t>
      </w:r>
      <w:r>
        <w:rPr>
          <w:rFonts w:ascii="Garamond" w:hAnsi="Garamond"/>
          <w:sz w:val="28"/>
          <w:szCs w:val="28"/>
        </w:rPr>
        <w:t>éthiopien</w:t>
      </w:r>
      <w:r w:rsidRPr="00A27AE4">
        <w:rPr>
          <w:rFonts w:ascii="Garamond" w:hAnsi="Garamond"/>
          <w:sz w:val="28"/>
          <w:szCs w:val="28"/>
        </w:rPr>
        <w:t xml:space="preserve"> (8,26-40). </w:t>
      </w:r>
      <w:r w:rsidRPr="00B26890">
        <w:rPr>
          <w:rFonts w:ascii="Garamond" w:hAnsi="Garamond"/>
          <w:b/>
          <w:bCs/>
          <w:sz w:val="28"/>
          <w:szCs w:val="28"/>
        </w:rPr>
        <w:t>Luc montre ainsi comment Dieu élargit le cercle des élus, en allant toujours plus loin dans l’appel universel</w:t>
      </w:r>
      <w:r>
        <w:rPr>
          <w:rFonts w:ascii="Garamond" w:hAnsi="Garamond"/>
          <w:sz w:val="28"/>
          <w:szCs w:val="28"/>
        </w:rPr>
        <w:t xml:space="preserve"> </w:t>
      </w:r>
      <w:r w:rsidRPr="00A27AE4">
        <w:rPr>
          <w:rFonts w:ascii="Garamond" w:hAnsi="Garamond"/>
          <w:sz w:val="28"/>
          <w:szCs w:val="28"/>
        </w:rPr>
        <w:t xml:space="preserve">: </w:t>
      </w:r>
      <w:r>
        <w:rPr>
          <w:rFonts w:ascii="Garamond" w:hAnsi="Garamond"/>
          <w:sz w:val="28"/>
          <w:szCs w:val="28"/>
        </w:rPr>
        <w:t>il appelle à son service un</w:t>
      </w:r>
      <w:r w:rsidRPr="00A27AE4">
        <w:rPr>
          <w:rFonts w:ascii="Garamond" w:hAnsi="Garamond"/>
          <w:sz w:val="28"/>
          <w:szCs w:val="28"/>
        </w:rPr>
        <w:t xml:space="preserve"> magicien, un eunuque éthiopien, </w:t>
      </w:r>
      <w:r>
        <w:rPr>
          <w:rFonts w:ascii="Garamond" w:hAnsi="Garamond"/>
          <w:sz w:val="28"/>
          <w:szCs w:val="28"/>
        </w:rPr>
        <w:t>puis un</w:t>
      </w:r>
      <w:r w:rsidRPr="00A27AE4">
        <w:rPr>
          <w:rFonts w:ascii="Garamond" w:hAnsi="Garamond"/>
          <w:sz w:val="28"/>
          <w:szCs w:val="28"/>
        </w:rPr>
        <w:t xml:space="preserve"> pharisien persécuteur</w:t>
      </w:r>
      <w:r>
        <w:rPr>
          <w:rFonts w:ascii="Garamond" w:hAnsi="Garamond"/>
          <w:sz w:val="28"/>
          <w:szCs w:val="28"/>
        </w:rPr>
        <w:t xml:space="preserve"> de l’Église</w:t>
      </w:r>
      <w:r w:rsidRPr="00A27AE4">
        <w:rPr>
          <w:rFonts w:ascii="Garamond" w:hAnsi="Garamond"/>
          <w:sz w:val="28"/>
          <w:szCs w:val="28"/>
        </w:rPr>
        <w:t>.</w:t>
      </w:r>
      <w:r>
        <w:rPr>
          <w:rFonts w:ascii="Garamond" w:hAnsi="Garamond"/>
          <w:sz w:val="28"/>
          <w:szCs w:val="28"/>
        </w:rPr>
        <w:t xml:space="preserve"> Luc, par sa construction, montre que </w:t>
      </w:r>
      <w:r w:rsidRPr="00B26890">
        <w:rPr>
          <w:rFonts w:ascii="Garamond" w:hAnsi="Garamond"/>
          <w:b/>
          <w:bCs/>
          <w:sz w:val="28"/>
          <w:szCs w:val="28"/>
        </w:rPr>
        <w:t>Dieu veut appeler chacune et chacun à son service, quel que soit son métier, son origine ou le mal qu’il accomplit.</w:t>
      </w:r>
      <w:r>
        <w:rPr>
          <w:rFonts w:ascii="Garamond" w:hAnsi="Garamond"/>
          <w:sz w:val="28"/>
          <w:szCs w:val="28"/>
        </w:rPr>
        <w:t xml:space="preserve"> Son appel vient dépasser toutes les frontières humaines.</w:t>
      </w:r>
    </w:p>
    <w:p w14:paraId="2BC08F9B" w14:textId="77777777" w:rsidR="00F8717B" w:rsidRPr="00A27AE4" w:rsidRDefault="00F8717B" w:rsidP="00F8717B">
      <w:pPr>
        <w:pStyle w:val="texte"/>
        <w:spacing w:before="0" w:beforeAutospacing="0" w:after="0" w:afterAutospacing="0"/>
        <w:ind w:firstLine="708"/>
        <w:jc w:val="both"/>
        <w:rPr>
          <w:rFonts w:ascii="Garamond" w:hAnsi="Garamond"/>
          <w:sz w:val="28"/>
          <w:szCs w:val="28"/>
        </w:rPr>
      </w:pPr>
      <w:r w:rsidRPr="00A27AE4">
        <w:rPr>
          <w:rFonts w:ascii="Garamond" w:hAnsi="Garamond"/>
          <w:b/>
          <w:bCs/>
          <w:sz w:val="28"/>
          <w:szCs w:val="28"/>
        </w:rPr>
        <w:t>Paul</w:t>
      </w:r>
      <w:r>
        <w:rPr>
          <w:rFonts w:ascii="Garamond" w:hAnsi="Garamond"/>
          <w:b/>
          <w:bCs/>
          <w:sz w:val="28"/>
          <w:szCs w:val="28"/>
        </w:rPr>
        <w:t xml:space="preserve">, dans ses épîtres, va dans le même sens. Il </w:t>
      </w:r>
      <w:r w:rsidRPr="00A27AE4">
        <w:rPr>
          <w:rFonts w:ascii="Garamond" w:hAnsi="Garamond"/>
          <w:b/>
          <w:bCs/>
          <w:sz w:val="28"/>
          <w:szCs w:val="28"/>
        </w:rPr>
        <w:t xml:space="preserve">n’emploie </w:t>
      </w:r>
      <w:r>
        <w:rPr>
          <w:rFonts w:ascii="Garamond" w:hAnsi="Garamond"/>
          <w:b/>
          <w:bCs/>
          <w:sz w:val="28"/>
          <w:szCs w:val="28"/>
        </w:rPr>
        <w:t xml:space="preserve">pas </w:t>
      </w:r>
      <w:r w:rsidRPr="00A27AE4">
        <w:rPr>
          <w:rFonts w:ascii="Garamond" w:hAnsi="Garamond"/>
          <w:b/>
          <w:bCs/>
          <w:sz w:val="28"/>
          <w:szCs w:val="28"/>
        </w:rPr>
        <w:t>le mot de « conversion »</w:t>
      </w:r>
      <w:r w:rsidRPr="00A27AE4">
        <w:rPr>
          <w:rFonts w:ascii="Garamond" w:hAnsi="Garamond"/>
          <w:sz w:val="28"/>
          <w:szCs w:val="28"/>
        </w:rPr>
        <w:t xml:space="preserve"> </w:t>
      </w:r>
      <w:r>
        <w:rPr>
          <w:rFonts w:ascii="Garamond" w:hAnsi="Garamond"/>
          <w:sz w:val="28"/>
          <w:szCs w:val="28"/>
        </w:rPr>
        <w:t>mais celui de « révélation »</w:t>
      </w:r>
      <w:r w:rsidRPr="00A27AE4">
        <w:rPr>
          <w:rFonts w:ascii="Garamond" w:hAnsi="Garamond"/>
          <w:sz w:val="28"/>
          <w:szCs w:val="28"/>
        </w:rPr>
        <w:t xml:space="preserve">. </w:t>
      </w:r>
      <w:r w:rsidRPr="00B26890">
        <w:rPr>
          <w:rFonts w:ascii="Garamond" w:hAnsi="Garamond"/>
          <w:sz w:val="28"/>
          <w:szCs w:val="28"/>
          <w:u w:val="single"/>
        </w:rPr>
        <w:t>Jésus s’est révélé à lui</w:t>
      </w:r>
      <w:r>
        <w:rPr>
          <w:rFonts w:ascii="Garamond" w:hAnsi="Garamond"/>
          <w:sz w:val="28"/>
          <w:szCs w:val="28"/>
        </w:rPr>
        <w:t>. Ce que les peintres ont tenté de reproduire par une apparition divine, une manifestation de Dieu, un peu comme celle de Moïse sur le mont Sinaï.</w:t>
      </w:r>
      <w:r w:rsidRPr="00A27AE4">
        <w:rPr>
          <w:rFonts w:ascii="Garamond" w:hAnsi="Garamond"/>
          <w:sz w:val="28"/>
          <w:szCs w:val="28"/>
        </w:rPr>
        <w:t xml:space="preserve"> </w:t>
      </w:r>
    </w:p>
    <w:p w14:paraId="1551F910" w14:textId="77777777" w:rsidR="00F8717B" w:rsidRPr="00A27AE4" w:rsidRDefault="00F8717B" w:rsidP="00F8717B">
      <w:pPr>
        <w:pStyle w:val="texte"/>
        <w:spacing w:before="0" w:beforeAutospacing="0" w:after="0" w:afterAutospacing="0"/>
        <w:ind w:firstLine="708"/>
        <w:jc w:val="both"/>
        <w:rPr>
          <w:rFonts w:ascii="Garamond" w:hAnsi="Garamond"/>
          <w:sz w:val="28"/>
          <w:szCs w:val="28"/>
        </w:rPr>
      </w:pPr>
      <w:r w:rsidRPr="00F07A88">
        <w:rPr>
          <w:rFonts w:ascii="Garamond" w:hAnsi="Garamond"/>
          <w:sz w:val="28"/>
          <w:szCs w:val="28"/>
        </w:rPr>
        <w:t xml:space="preserve">Un peu comme </w:t>
      </w:r>
      <w:r>
        <w:rPr>
          <w:rFonts w:ascii="Garamond" w:hAnsi="Garamond"/>
          <w:sz w:val="28"/>
          <w:szCs w:val="28"/>
        </w:rPr>
        <w:t>É</w:t>
      </w:r>
      <w:r w:rsidRPr="00F07A88">
        <w:rPr>
          <w:rFonts w:ascii="Garamond" w:hAnsi="Garamond"/>
          <w:sz w:val="28"/>
          <w:szCs w:val="28"/>
        </w:rPr>
        <w:t>saïe, l’apôtre</w:t>
      </w:r>
      <w:r>
        <w:rPr>
          <w:rFonts w:ascii="Garamond" w:hAnsi="Garamond"/>
          <w:b/>
          <w:bCs/>
          <w:sz w:val="28"/>
          <w:szCs w:val="28"/>
        </w:rPr>
        <w:t xml:space="preserve"> </w:t>
      </w:r>
      <w:r w:rsidRPr="00A27AE4">
        <w:rPr>
          <w:rFonts w:ascii="Garamond" w:hAnsi="Garamond"/>
          <w:sz w:val="28"/>
          <w:szCs w:val="28"/>
        </w:rPr>
        <w:t xml:space="preserve">a été « mis à part dès le sein de sa mère » pour </w:t>
      </w:r>
      <w:r>
        <w:rPr>
          <w:rFonts w:ascii="Garamond" w:hAnsi="Garamond"/>
          <w:sz w:val="28"/>
          <w:szCs w:val="28"/>
        </w:rPr>
        <w:t xml:space="preserve">que </w:t>
      </w:r>
      <w:r w:rsidRPr="00B26890">
        <w:rPr>
          <w:rFonts w:ascii="Garamond" w:hAnsi="Garamond"/>
          <w:b/>
          <w:bCs/>
          <w:sz w:val="28"/>
          <w:szCs w:val="28"/>
        </w:rPr>
        <w:t xml:space="preserve">Dieu révèle le Christ en lui et </w:t>
      </w:r>
      <w:r w:rsidRPr="00B26890">
        <w:rPr>
          <w:rFonts w:ascii="Garamond" w:hAnsi="Garamond"/>
          <w:b/>
          <w:bCs/>
          <w:sz w:val="28"/>
          <w:szCs w:val="28"/>
        </w:rPr>
        <w:lastRenderedPageBreak/>
        <w:t>qu’il annonce la Bonne Nouvelle aux païens</w:t>
      </w:r>
      <w:r w:rsidRPr="00A27AE4">
        <w:rPr>
          <w:rFonts w:ascii="Garamond" w:hAnsi="Garamond"/>
          <w:sz w:val="28"/>
          <w:szCs w:val="28"/>
        </w:rPr>
        <w:t xml:space="preserve">. </w:t>
      </w:r>
      <w:r w:rsidRPr="00B26890">
        <w:rPr>
          <w:rFonts w:ascii="Garamond" w:hAnsi="Garamond"/>
          <w:sz w:val="28"/>
          <w:szCs w:val="28"/>
          <w:u w:val="single"/>
        </w:rPr>
        <w:t>La révélation est liée au témoignage aux païens</w:t>
      </w:r>
      <w:r>
        <w:rPr>
          <w:rFonts w:ascii="Garamond" w:hAnsi="Garamond"/>
          <w:sz w:val="28"/>
          <w:szCs w:val="28"/>
        </w:rPr>
        <w:t>. Pourquoi ?</w:t>
      </w:r>
      <w:r w:rsidRPr="00A27AE4">
        <w:rPr>
          <w:rFonts w:ascii="Garamond" w:hAnsi="Garamond"/>
          <w:sz w:val="28"/>
          <w:szCs w:val="28"/>
        </w:rPr>
        <w:t xml:space="preserve"> </w:t>
      </w:r>
      <w:r>
        <w:rPr>
          <w:rFonts w:ascii="Garamond" w:hAnsi="Garamond"/>
          <w:sz w:val="28"/>
          <w:szCs w:val="28"/>
        </w:rPr>
        <w:t xml:space="preserve">Justement parce que, pour Paul, </w:t>
      </w:r>
      <w:r w:rsidRPr="00A27AE4">
        <w:rPr>
          <w:rFonts w:ascii="Garamond" w:hAnsi="Garamond"/>
          <w:b/>
          <w:bCs/>
          <w:sz w:val="28"/>
          <w:szCs w:val="28"/>
        </w:rPr>
        <w:t>la Bonne Nouvelle signifie la fin des particularismes identitaires et ethniques</w:t>
      </w:r>
      <w:r w:rsidRPr="00A27AE4">
        <w:rPr>
          <w:rFonts w:ascii="Garamond" w:hAnsi="Garamond"/>
          <w:sz w:val="28"/>
          <w:szCs w:val="28"/>
        </w:rPr>
        <w:t xml:space="preserve"> : en Christ il n’y a </w:t>
      </w:r>
      <w:r>
        <w:rPr>
          <w:rFonts w:ascii="Garamond" w:hAnsi="Garamond"/>
          <w:sz w:val="28"/>
          <w:szCs w:val="28"/>
        </w:rPr>
        <w:t xml:space="preserve">plus </w:t>
      </w:r>
      <w:r w:rsidRPr="00A27AE4">
        <w:rPr>
          <w:rFonts w:ascii="Garamond" w:hAnsi="Garamond"/>
          <w:sz w:val="28"/>
          <w:szCs w:val="28"/>
        </w:rPr>
        <w:t>ni juif ni grec</w:t>
      </w:r>
      <w:r>
        <w:rPr>
          <w:rFonts w:ascii="Garamond" w:hAnsi="Garamond"/>
          <w:sz w:val="28"/>
          <w:szCs w:val="28"/>
        </w:rPr>
        <w:t xml:space="preserve"> </w:t>
      </w:r>
      <w:r w:rsidRPr="00A27AE4">
        <w:rPr>
          <w:rFonts w:ascii="Garamond" w:hAnsi="Garamond"/>
          <w:sz w:val="28"/>
          <w:szCs w:val="28"/>
        </w:rPr>
        <w:t xml:space="preserve">(cf. Ga 3,28-29). </w:t>
      </w:r>
      <w:r>
        <w:rPr>
          <w:rFonts w:ascii="Garamond" w:hAnsi="Garamond"/>
          <w:sz w:val="28"/>
          <w:szCs w:val="28"/>
        </w:rPr>
        <w:t>La</w:t>
      </w:r>
      <w:r w:rsidRPr="00A27AE4">
        <w:rPr>
          <w:rFonts w:ascii="Garamond" w:hAnsi="Garamond"/>
          <w:sz w:val="28"/>
          <w:szCs w:val="28"/>
        </w:rPr>
        <w:t xml:space="preserve"> « révélation »</w:t>
      </w:r>
      <w:r>
        <w:rPr>
          <w:rFonts w:ascii="Garamond" w:hAnsi="Garamond"/>
          <w:sz w:val="28"/>
          <w:szCs w:val="28"/>
        </w:rPr>
        <w:t xml:space="preserve"> de Christ en lui a fondé</w:t>
      </w:r>
      <w:r w:rsidRPr="00A27AE4">
        <w:rPr>
          <w:rFonts w:ascii="Garamond" w:hAnsi="Garamond"/>
          <w:sz w:val="28"/>
          <w:szCs w:val="28"/>
        </w:rPr>
        <w:t xml:space="preserve"> </w:t>
      </w:r>
      <w:r>
        <w:rPr>
          <w:rFonts w:ascii="Garamond" w:hAnsi="Garamond"/>
          <w:b/>
          <w:bCs/>
          <w:sz w:val="28"/>
          <w:szCs w:val="28"/>
        </w:rPr>
        <w:t>u</w:t>
      </w:r>
      <w:r w:rsidRPr="00A27AE4">
        <w:rPr>
          <w:rFonts w:ascii="Garamond" w:hAnsi="Garamond"/>
          <w:b/>
          <w:bCs/>
          <w:sz w:val="28"/>
          <w:szCs w:val="28"/>
        </w:rPr>
        <w:t xml:space="preserve">ne nouvelle compréhension </w:t>
      </w:r>
      <w:r>
        <w:rPr>
          <w:rFonts w:ascii="Garamond" w:hAnsi="Garamond"/>
          <w:b/>
          <w:bCs/>
          <w:sz w:val="28"/>
          <w:szCs w:val="28"/>
        </w:rPr>
        <w:t>de l’humain</w:t>
      </w:r>
      <w:r w:rsidRPr="00A27AE4">
        <w:rPr>
          <w:rFonts w:ascii="Garamond" w:hAnsi="Garamond"/>
          <w:sz w:val="28"/>
          <w:szCs w:val="28"/>
        </w:rPr>
        <w:t xml:space="preserve"> : </w:t>
      </w:r>
      <w:r>
        <w:rPr>
          <w:rFonts w:ascii="Garamond" w:hAnsi="Garamond"/>
          <w:sz w:val="28"/>
          <w:szCs w:val="28"/>
        </w:rPr>
        <w:t>les</w:t>
      </w:r>
      <w:r w:rsidRPr="00A27AE4">
        <w:rPr>
          <w:rFonts w:ascii="Garamond" w:hAnsi="Garamond"/>
          <w:sz w:val="28"/>
          <w:szCs w:val="28"/>
        </w:rPr>
        <w:t xml:space="preserve"> marques identitaires, religieuses ou nationales,</w:t>
      </w:r>
      <w:r>
        <w:rPr>
          <w:rFonts w:ascii="Garamond" w:hAnsi="Garamond"/>
          <w:sz w:val="28"/>
          <w:szCs w:val="28"/>
        </w:rPr>
        <w:t xml:space="preserve"> ne sont plus rien. Ne sont plus ni fondatrices ni séparatrices. </w:t>
      </w:r>
      <w:r w:rsidRPr="00A27AE4">
        <w:rPr>
          <w:rFonts w:ascii="Garamond" w:hAnsi="Garamond"/>
          <w:b/>
          <w:bCs/>
          <w:sz w:val="28"/>
          <w:szCs w:val="28"/>
        </w:rPr>
        <w:t>Concrètement, c</w:t>
      </w:r>
      <w:r>
        <w:rPr>
          <w:rFonts w:ascii="Garamond" w:hAnsi="Garamond"/>
          <w:b/>
          <w:bCs/>
          <w:sz w:val="28"/>
          <w:szCs w:val="28"/>
        </w:rPr>
        <w:t>’est c</w:t>
      </w:r>
      <w:r w:rsidRPr="00A27AE4">
        <w:rPr>
          <w:rFonts w:ascii="Garamond" w:hAnsi="Garamond"/>
          <w:b/>
          <w:bCs/>
          <w:sz w:val="28"/>
          <w:szCs w:val="28"/>
        </w:rPr>
        <w:t>ela</w:t>
      </w:r>
      <w:r>
        <w:rPr>
          <w:rFonts w:ascii="Garamond" w:hAnsi="Garamond"/>
          <w:b/>
          <w:bCs/>
          <w:sz w:val="28"/>
          <w:szCs w:val="28"/>
        </w:rPr>
        <w:t xml:space="preserve"> qui</w:t>
      </w:r>
      <w:r w:rsidRPr="00A27AE4">
        <w:rPr>
          <w:rFonts w:ascii="Garamond" w:hAnsi="Garamond"/>
          <w:b/>
          <w:bCs/>
          <w:sz w:val="28"/>
          <w:szCs w:val="28"/>
        </w:rPr>
        <w:t xml:space="preserve"> fonde l’activité missionnaire et universaliste de Paul.</w:t>
      </w:r>
      <w:r w:rsidRPr="00A27AE4">
        <w:rPr>
          <w:rFonts w:ascii="Garamond" w:hAnsi="Garamond"/>
          <w:sz w:val="28"/>
          <w:szCs w:val="28"/>
        </w:rPr>
        <w:t xml:space="preserve"> En ce sens, au cœur de</w:t>
      </w:r>
      <w:r>
        <w:rPr>
          <w:rFonts w:ascii="Garamond" w:hAnsi="Garamond"/>
          <w:sz w:val="28"/>
          <w:szCs w:val="28"/>
        </w:rPr>
        <w:t>s récits de</w:t>
      </w:r>
      <w:r w:rsidRPr="00A27AE4">
        <w:rPr>
          <w:rFonts w:ascii="Garamond" w:hAnsi="Garamond"/>
          <w:sz w:val="28"/>
          <w:szCs w:val="28"/>
        </w:rPr>
        <w:t xml:space="preserve"> </w:t>
      </w:r>
      <w:r>
        <w:rPr>
          <w:rFonts w:ascii="Garamond" w:hAnsi="Garamond"/>
          <w:sz w:val="28"/>
          <w:szCs w:val="28"/>
        </w:rPr>
        <w:t>sa</w:t>
      </w:r>
      <w:r w:rsidRPr="00A27AE4">
        <w:rPr>
          <w:rFonts w:ascii="Garamond" w:hAnsi="Garamond"/>
          <w:sz w:val="28"/>
          <w:szCs w:val="28"/>
        </w:rPr>
        <w:t xml:space="preserve"> « conversion » </w:t>
      </w:r>
      <w:r>
        <w:rPr>
          <w:rFonts w:ascii="Garamond" w:hAnsi="Garamond"/>
          <w:sz w:val="28"/>
          <w:szCs w:val="28"/>
        </w:rPr>
        <w:t>chez</w:t>
      </w:r>
      <w:r w:rsidRPr="00A27AE4">
        <w:rPr>
          <w:rFonts w:ascii="Garamond" w:hAnsi="Garamond"/>
          <w:sz w:val="28"/>
          <w:szCs w:val="28"/>
        </w:rPr>
        <w:t xml:space="preserve"> Paul</w:t>
      </w:r>
      <w:r>
        <w:rPr>
          <w:rFonts w:ascii="Garamond" w:hAnsi="Garamond"/>
          <w:sz w:val="28"/>
          <w:szCs w:val="28"/>
        </w:rPr>
        <w:t>, comme chez Luc, il y a l’affirmation d’une mission universaliste.</w:t>
      </w:r>
      <w:r w:rsidRPr="00A27AE4">
        <w:rPr>
          <w:rFonts w:ascii="Garamond" w:hAnsi="Garamond"/>
          <w:sz w:val="28"/>
          <w:szCs w:val="28"/>
        </w:rPr>
        <w:t xml:space="preserve"> </w:t>
      </w:r>
    </w:p>
    <w:p w14:paraId="04CCA6CB" w14:textId="77777777" w:rsidR="00F8717B" w:rsidRDefault="00F8717B" w:rsidP="00F8717B">
      <w:pPr>
        <w:pStyle w:val="texte"/>
        <w:spacing w:before="0" w:beforeAutospacing="0" w:after="0" w:afterAutospacing="0"/>
        <w:ind w:firstLine="708"/>
        <w:jc w:val="both"/>
        <w:rPr>
          <w:rFonts w:ascii="Garamond" w:hAnsi="Garamond"/>
          <w:sz w:val="28"/>
          <w:szCs w:val="28"/>
        </w:rPr>
      </w:pPr>
      <w:r w:rsidRPr="00F75B82">
        <w:rPr>
          <w:rFonts w:ascii="Garamond" w:hAnsi="Garamond"/>
          <w:b/>
          <w:bCs/>
          <w:sz w:val="28"/>
          <w:szCs w:val="28"/>
        </w:rPr>
        <w:t>La chute à terre dont parle les récits de Luc est repris</w:t>
      </w:r>
      <w:r>
        <w:rPr>
          <w:rFonts w:ascii="Garamond" w:hAnsi="Garamond"/>
          <w:b/>
          <w:bCs/>
          <w:sz w:val="28"/>
          <w:szCs w:val="28"/>
        </w:rPr>
        <w:t>e</w:t>
      </w:r>
      <w:r w:rsidRPr="00F75B82">
        <w:rPr>
          <w:rFonts w:ascii="Garamond" w:hAnsi="Garamond"/>
          <w:b/>
          <w:bCs/>
          <w:sz w:val="28"/>
          <w:szCs w:val="28"/>
        </w:rPr>
        <w:t xml:space="preserve"> également dans les récits de Paul.</w:t>
      </w:r>
      <w:r>
        <w:rPr>
          <w:rFonts w:ascii="Garamond" w:hAnsi="Garamond"/>
          <w:sz w:val="28"/>
          <w:szCs w:val="28"/>
        </w:rPr>
        <w:t xml:space="preserve"> Il dit en Galates qu’il regarde tous ses marqueurs identitaires, toutes ses gloires d’antan, comme des</w:t>
      </w:r>
      <w:r w:rsidRPr="00A27AE4">
        <w:rPr>
          <w:rFonts w:ascii="Garamond" w:hAnsi="Garamond"/>
          <w:sz w:val="28"/>
          <w:szCs w:val="28"/>
        </w:rPr>
        <w:t xml:space="preserve"> « </w:t>
      </w:r>
      <w:r w:rsidRPr="00A27AE4">
        <w:rPr>
          <w:rFonts w:ascii="Garamond" w:hAnsi="Garamond"/>
          <w:i/>
          <w:iCs/>
          <w:sz w:val="28"/>
          <w:szCs w:val="28"/>
        </w:rPr>
        <w:t>ordures</w:t>
      </w:r>
      <w:r w:rsidRPr="00A27AE4">
        <w:rPr>
          <w:rFonts w:ascii="Garamond" w:hAnsi="Garamond"/>
          <w:sz w:val="28"/>
          <w:szCs w:val="28"/>
        </w:rPr>
        <w:t xml:space="preserve"> » (v. 8). </w:t>
      </w:r>
      <w:r>
        <w:rPr>
          <w:rFonts w:ascii="Garamond" w:hAnsi="Garamond"/>
          <w:sz w:val="28"/>
          <w:szCs w:val="28"/>
        </w:rPr>
        <w:t xml:space="preserve">Paul a été renversé, mis à terre. Par l’amour de Dieu. </w:t>
      </w:r>
      <w:r w:rsidRPr="00B26890">
        <w:rPr>
          <w:rFonts w:ascii="Garamond" w:hAnsi="Garamond"/>
          <w:b/>
          <w:bCs/>
          <w:sz w:val="28"/>
          <w:szCs w:val="28"/>
        </w:rPr>
        <w:t>Par la confiance unilatérale qu’il lui a manifestée et ce malgré ce qu’il était, malgré ce qu’il faisait</w:t>
      </w:r>
      <w:r>
        <w:rPr>
          <w:rFonts w:ascii="Garamond" w:hAnsi="Garamond"/>
          <w:sz w:val="28"/>
          <w:szCs w:val="28"/>
        </w:rPr>
        <w:t>.</w:t>
      </w:r>
      <w:r w:rsidRPr="00A27AE4">
        <w:rPr>
          <w:rFonts w:ascii="Garamond" w:hAnsi="Garamond"/>
          <w:sz w:val="28"/>
          <w:szCs w:val="28"/>
        </w:rPr>
        <w:t xml:space="preserve"> </w:t>
      </w:r>
      <w:r>
        <w:rPr>
          <w:rFonts w:ascii="Garamond" w:hAnsi="Garamond"/>
          <w:sz w:val="28"/>
          <w:szCs w:val="28"/>
        </w:rPr>
        <w:t xml:space="preserve">Il a été mis à terre par la « foi du Christ ». C’est littéralement ce qu’il dit en Galates 1,9 </w:t>
      </w:r>
      <w:r w:rsidRPr="00A27AE4">
        <w:rPr>
          <w:rFonts w:ascii="Garamond" w:hAnsi="Garamond"/>
          <w:sz w:val="28"/>
          <w:szCs w:val="28"/>
        </w:rPr>
        <w:t>: « </w:t>
      </w:r>
      <w:r w:rsidRPr="00A27AE4">
        <w:rPr>
          <w:rFonts w:ascii="Garamond" w:hAnsi="Garamond"/>
          <w:i/>
          <w:iCs/>
          <w:sz w:val="28"/>
          <w:szCs w:val="28"/>
        </w:rPr>
        <w:t>afin que je sois trouvé en lui, n’ayant pas une justice à moi, celle qui vient de la loi, mais la justice par la</w:t>
      </w:r>
      <w:r w:rsidRPr="00A27AE4">
        <w:rPr>
          <w:rStyle w:val="apple-converted-space"/>
          <w:rFonts w:ascii="Garamond" w:hAnsi="Garamond"/>
          <w:sz w:val="28"/>
          <w:szCs w:val="28"/>
        </w:rPr>
        <w:t> </w:t>
      </w:r>
      <w:r w:rsidRPr="00A27AE4">
        <w:rPr>
          <w:rStyle w:val="Accentuation"/>
          <w:rFonts w:ascii="Garamond" w:eastAsiaTheme="majorEastAsia" w:hAnsi="Garamond"/>
          <w:sz w:val="28"/>
          <w:szCs w:val="28"/>
        </w:rPr>
        <w:t>foi du Christ</w:t>
      </w:r>
      <w:r w:rsidRPr="00A27AE4">
        <w:rPr>
          <w:rFonts w:ascii="Garamond" w:hAnsi="Garamond"/>
          <w:i/>
          <w:iCs/>
          <w:sz w:val="28"/>
          <w:szCs w:val="28"/>
        </w:rPr>
        <w:t>, la justice qui vient de Dieu, et qui s’appuie sur la foi</w:t>
      </w:r>
      <w:r w:rsidRPr="00A27AE4">
        <w:rPr>
          <w:rFonts w:ascii="Garamond" w:hAnsi="Garamond"/>
          <w:sz w:val="28"/>
          <w:szCs w:val="28"/>
        </w:rPr>
        <w:t xml:space="preserve"> ». </w:t>
      </w:r>
      <w:r>
        <w:rPr>
          <w:rFonts w:ascii="Garamond" w:hAnsi="Garamond"/>
          <w:sz w:val="28"/>
          <w:szCs w:val="28"/>
        </w:rPr>
        <w:t>La « foi du Christ »</w:t>
      </w:r>
      <w:r w:rsidRPr="00A27AE4">
        <w:rPr>
          <w:rStyle w:val="apple-converted-space"/>
          <w:rFonts w:ascii="Garamond" w:hAnsi="Garamond"/>
          <w:sz w:val="28"/>
          <w:szCs w:val="28"/>
        </w:rPr>
        <w:t> </w:t>
      </w:r>
      <w:r w:rsidRPr="00F75B82">
        <w:rPr>
          <w:rStyle w:val="Accentuation"/>
          <w:rFonts w:ascii="Garamond" w:eastAsiaTheme="majorEastAsia" w:hAnsi="Garamond"/>
          <w:sz w:val="28"/>
          <w:szCs w:val="28"/>
        </w:rPr>
        <w:t>et non</w:t>
      </w:r>
      <w:r w:rsidRPr="00A27AE4">
        <w:rPr>
          <w:rFonts w:ascii="Garamond" w:hAnsi="Garamond"/>
          <w:sz w:val="28"/>
          <w:szCs w:val="28"/>
        </w:rPr>
        <w:t xml:space="preserve"> la foi « en » Christ</w:t>
      </w:r>
      <w:r>
        <w:rPr>
          <w:rFonts w:ascii="Garamond" w:hAnsi="Garamond"/>
          <w:sz w:val="28"/>
          <w:szCs w:val="28"/>
        </w:rPr>
        <w:t>, comme traduisent la plupart de nos traductions françaises</w:t>
      </w:r>
      <w:r w:rsidRPr="00A27AE4">
        <w:rPr>
          <w:rFonts w:ascii="Garamond" w:hAnsi="Garamond"/>
          <w:sz w:val="28"/>
          <w:szCs w:val="28"/>
        </w:rPr>
        <w:t xml:space="preserve">. </w:t>
      </w:r>
      <w:r>
        <w:rPr>
          <w:rFonts w:ascii="Garamond" w:hAnsi="Garamond"/>
          <w:sz w:val="28"/>
          <w:szCs w:val="28"/>
        </w:rPr>
        <w:t xml:space="preserve">La foi de Christ, cette confiance unilatérale, inconditionnelle, suscite la foi de l’homme. </w:t>
      </w:r>
      <w:r w:rsidRPr="00B26890">
        <w:rPr>
          <w:rFonts w:ascii="Garamond" w:hAnsi="Garamond"/>
          <w:b/>
          <w:bCs/>
          <w:sz w:val="28"/>
          <w:szCs w:val="28"/>
        </w:rPr>
        <w:t>La foi du Christ, Paul l’a découvert lors de l’expérience « existentielle », « subjective » ou encore « spirituelle » qu’il a faite sur le chemin de Damas</w:t>
      </w:r>
      <w:r w:rsidRPr="00A27AE4">
        <w:rPr>
          <w:rFonts w:ascii="Garamond" w:hAnsi="Garamond"/>
          <w:sz w:val="28"/>
          <w:szCs w:val="28"/>
        </w:rPr>
        <w:t xml:space="preserve">. </w:t>
      </w:r>
    </w:p>
    <w:p w14:paraId="3A277444" w14:textId="77777777" w:rsidR="00F8717B" w:rsidRDefault="00F8717B" w:rsidP="00F8717B">
      <w:pPr>
        <w:pStyle w:val="texte"/>
        <w:spacing w:before="0" w:beforeAutospacing="0" w:after="0" w:afterAutospacing="0"/>
        <w:ind w:firstLine="708"/>
        <w:jc w:val="both"/>
        <w:rPr>
          <w:rFonts w:ascii="Garamond" w:hAnsi="Garamond"/>
          <w:sz w:val="28"/>
          <w:szCs w:val="28"/>
        </w:rPr>
      </w:pPr>
      <w:r>
        <w:rPr>
          <w:rFonts w:ascii="Garamond" w:hAnsi="Garamond"/>
          <w:sz w:val="28"/>
          <w:szCs w:val="28"/>
        </w:rPr>
        <w:t>Une expérience qui est celle de chaque croyant. En ce sens, le plus grand pécheur d’homme est bien Dieu, en Christ, par la confiance unilatérale, inconditionnelle qu’il montre à chacune et chacun. Ce que Paul et Luther à sa suite nommeront la Grâce.</w:t>
      </w:r>
    </w:p>
    <w:p w14:paraId="16A4293A" w14:textId="77777777" w:rsidR="00F8717B" w:rsidRDefault="00F8717B" w:rsidP="00F8717B">
      <w:pPr>
        <w:pStyle w:val="texte"/>
        <w:spacing w:before="0" w:beforeAutospacing="0" w:after="0" w:afterAutospacing="0"/>
        <w:ind w:firstLine="708"/>
        <w:jc w:val="both"/>
        <w:rPr>
          <w:rFonts w:ascii="Garamond" w:hAnsi="Garamond"/>
          <w:sz w:val="28"/>
          <w:szCs w:val="28"/>
        </w:rPr>
      </w:pPr>
      <w:r>
        <w:rPr>
          <w:rFonts w:ascii="Garamond" w:hAnsi="Garamond"/>
          <w:sz w:val="28"/>
          <w:szCs w:val="28"/>
        </w:rPr>
        <w:t>Que la grâce de Dieu touche chacune et chacun. Amen.</w:t>
      </w:r>
    </w:p>
    <w:p w14:paraId="50AFEC11" w14:textId="77777777" w:rsidR="008E6E3C" w:rsidRDefault="008E6E3C"/>
    <w:sectPr w:rsidR="008E6E3C" w:rsidSect="00F8717B">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9B47" w14:textId="77777777" w:rsidR="006E7F96" w:rsidRDefault="006E7F96" w:rsidP="00F8717B">
      <w:r>
        <w:separator/>
      </w:r>
    </w:p>
  </w:endnote>
  <w:endnote w:type="continuationSeparator" w:id="0">
    <w:p w14:paraId="6BD16111" w14:textId="77777777" w:rsidR="006E7F96" w:rsidRDefault="006E7F96" w:rsidP="00F8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1D59" w14:textId="77777777" w:rsidR="006E7F96" w:rsidRDefault="006E7F96" w:rsidP="00F8717B">
      <w:r>
        <w:separator/>
      </w:r>
    </w:p>
  </w:footnote>
  <w:footnote w:type="continuationSeparator" w:id="0">
    <w:p w14:paraId="18A1CF79" w14:textId="77777777" w:rsidR="006E7F96" w:rsidRDefault="006E7F96" w:rsidP="00F8717B">
      <w:r>
        <w:continuationSeparator/>
      </w:r>
    </w:p>
  </w:footnote>
  <w:footnote w:id="1">
    <w:p w14:paraId="32CE455A" w14:textId="77777777" w:rsidR="00F8717B" w:rsidRPr="00951808" w:rsidRDefault="00F8717B" w:rsidP="00F8717B">
      <w:pPr>
        <w:pStyle w:val="NormalWeb"/>
        <w:spacing w:before="0" w:beforeAutospacing="0" w:after="0" w:afterAutospacing="0"/>
        <w:jc w:val="both"/>
        <w:rPr>
          <w:rFonts w:ascii="Garamond" w:hAnsi="Garamond"/>
          <w:sz w:val="20"/>
          <w:szCs w:val="20"/>
        </w:rPr>
      </w:pPr>
      <w:r w:rsidRPr="00A27AE4">
        <w:rPr>
          <w:rStyle w:val="Appelnotedebasdep"/>
          <w:rFonts w:ascii="Garamond" w:hAnsi="Garamond"/>
          <w:sz w:val="20"/>
          <w:szCs w:val="20"/>
        </w:rPr>
        <w:footnoteRef/>
      </w:r>
      <w:r w:rsidRPr="00A27AE4">
        <w:rPr>
          <w:rFonts w:ascii="Garamond" w:hAnsi="Garamond"/>
          <w:sz w:val="20"/>
          <w:szCs w:val="20"/>
        </w:rPr>
        <w:t xml:space="preserve"> Pour tout ce qui suit, je </w:t>
      </w:r>
      <w:r>
        <w:rPr>
          <w:rFonts w:ascii="Garamond" w:hAnsi="Garamond"/>
          <w:sz w:val="20"/>
          <w:szCs w:val="20"/>
        </w:rPr>
        <w:t>m’inspire</w:t>
      </w:r>
      <w:r w:rsidRPr="00A27AE4">
        <w:rPr>
          <w:rFonts w:ascii="Garamond" w:hAnsi="Garamond"/>
          <w:sz w:val="20"/>
          <w:szCs w:val="20"/>
        </w:rPr>
        <w:t xml:space="preserve"> largement de l’article </w:t>
      </w:r>
      <w:r>
        <w:rPr>
          <w:rFonts w:ascii="Garamond" w:hAnsi="Garamond"/>
          <w:sz w:val="20"/>
          <w:szCs w:val="20"/>
        </w:rPr>
        <w:t>de</w:t>
      </w:r>
      <w:r w:rsidRPr="00A27AE4">
        <w:rPr>
          <w:rFonts w:ascii="Garamond" w:hAnsi="Garamond"/>
          <w:sz w:val="20"/>
          <w:szCs w:val="20"/>
        </w:rPr>
        <w:t xml:space="preserve"> : </w:t>
      </w:r>
      <w:proofErr w:type="spellStart"/>
      <w:r w:rsidRPr="00A27AE4">
        <w:rPr>
          <w:rStyle w:val="lev"/>
          <w:rFonts w:ascii="Garamond" w:hAnsi="Garamond"/>
          <w:sz w:val="20"/>
          <w:szCs w:val="20"/>
        </w:rPr>
        <w:t>Élian</w:t>
      </w:r>
      <w:proofErr w:type="spellEnd"/>
      <w:r w:rsidRPr="00A27AE4">
        <w:rPr>
          <w:rStyle w:val="apple-converted-space"/>
          <w:rFonts w:ascii="Garamond" w:hAnsi="Garamond"/>
          <w:sz w:val="20"/>
          <w:szCs w:val="20"/>
        </w:rPr>
        <w:t> </w:t>
      </w:r>
      <w:r w:rsidRPr="00A27AE4">
        <w:rPr>
          <w:rStyle w:val="familyname"/>
          <w:rFonts w:ascii="Garamond" w:hAnsi="Garamond"/>
          <w:sz w:val="20"/>
          <w:szCs w:val="20"/>
        </w:rPr>
        <w:t>Cuvillier</w:t>
      </w:r>
      <w:r w:rsidRPr="00A27AE4">
        <w:rPr>
          <w:rFonts w:ascii="Garamond" w:hAnsi="Garamond"/>
          <w:sz w:val="20"/>
          <w:szCs w:val="20"/>
        </w:rPr>
        <w:t>,</w:t>
      </w:r>
      <w:r w:rsidRPr="00A27AE4">
        <w:rPr>
          <w:rStyle w:val="apple-converted-space"/>
          <w:rFonts w:ascii="Garamond" w:hAnsi="Garamond"/>
          <w:sz w:val="20"/>
          <w:szCs w:val="20"/>
        </w:rPr>
        <w:t> </w:t>
      </w:r>
      <w:r w:rsidRPr="00A27AE4">
        <w:rPr>
          <w:rFonts w:ascii="Garamond" w:hAnsi="Garamond"/>
          <w:sz w:val="20"/>
          <w:szCs w:val="20"/>
        </w:rPr>
        <w:t>« La conversion de Paul, regards croisés », </w:t>
      </w:r>
      <w:r w:rsidRPr="00A27AE4">
        <w:rPr>
          <w:rStyle w:val="Accentuation"/>
          <w:rFonts w:ascii="Garamond" w:eastAsiaTheme="majorEastAsia" w:hAnsi="Garamond"/>
          <w:sz w:val="20"/>
          <w:szCs w:val="20"/>
        </w:rPr>
        <w:t>Cahiers d’études du religieux. Recherches interdisciplinaires</w:t>
      </w:r>
      <w:r w:rsidRPr="00A27AE4">
        <w:rPr>
          <w:rStyle w:val="apple-converted-space"/>
          <w:rFonts w:ascii="Garamond" w:hAnsi="Garamond"/>
          <w:sz w:val="20"/>
          <w:szCs w:val="20"/>
        </w:rPr>
        <w:t> </w:t>
      </w:r>
      <w:r w:rsidRPr="00A27AE4">
        <w:rPr>
          <w:rFonts w:ascii="Garamond" w:hAnsi="Garamond"/>
          <w:sz w:val="20"/>
          <w:szCs w:val="20"/>
        </w:rPr>
        <w:t>[En ligne], 6 | 2009, mis en ligne le</w:t>
      </w:r>
      <w:r w:rsidRPr="00A27AE4">
        <w:rPr>
          <w:rStyle w:val="apple-converted-space"/>
          <w:rFonts w:ascii="Garamond" w:hAnsi="Garamond"/>
          <w:sz w:val="20"/>
          <w:szCs w:val="20"/>
        </w:rPr>
        <w:t> </w:t>
      </w:r>
      <w:r w:rsidRPr="00A27AE4">
        <w:rPr>
          <w:rFonts w:ascii="Garamond" w:hAnsi="Garamond"/>
          <w:sz w:val="20"/>
          <w:szCs w:val="20"/>
        </w:rPr>
        <w:t>18 septembre 2009.</w:t>
      </w:r>
      <w:r w:rsidRPr="00A27AE4">
        <w:rPr>
          <w:rStyle w:val="apple-converted-space"/>
          <w:rFonts w:ascii="Garamond" w:hAnsi="Garamond"/>
          <w:sz w:val="20"/>
          <w:szCs w:val="20"/>
        </w:rPr>
        <w:t> </w:t>
      </w:r>
      <w:r w:rsidRPr="00951808">
        <w:rPr>
          <w:rFonts w:ascii="Garamond" w:hAnsi="Garamond"/>
          <w:sz w:val="20"/>
          <w:szCs w:val="20"/>
        </w:rPr>
        <w:t>URL</w:t>
      </w:r>
      <w:proofErr w:type="gramStart"/>
      <w:r w:rsidRPr="00951808">
        <w:rPr>
          <w:rFonts w:ascii="Garamond" w:hAnsi="Garamond"/>
          <w:sz w:val="20"/>
          <w:szCs w:val="20"/>
        </w:rPr>
        <w:t xml:space="preserve"> :http://journals.openedition.org/</w:t>
      </w:r>
      <w:proofErr w:type="spellStart"/>
      <w:r w:rsidRPr="00951808">
        <w:rPr>
          <w:rFonts w:ascii="Garamond" w:hAnsi="Garamond"/>
          <w:sz w:val="20"/>
          <w:szCs w:val="20"/>
        </w:rPr>
        <w:t>cerri</w:t>
      </w:r>
      <w:proofErr w:type="spellEnd"/>
      <w:r w:rsidRPr="00951808">
        <w:rPr>
          <w:rFonts w:ascii="Garamond" w:hAnsi="Garamond"/>
          <w:sz w:val="20"/>
          <w:szCs w:val="20"/>
        </w:rPr>
        <w:t>/373</w:t>
      </w:r>
      <w:proofErr w:type="gramEnd"/>
      <w:r w:rsidRPr="00951808">
        <w:rPr>
          <w:rFonts w:ascii="Garamond" w:hAnsi="Garamond"/>
          <w:sz w:val="20"/>
          <w:szCs w:val="20"/>
        </w:rPr>
        <w:t> ;</w:t>
      </w:r>
      <w:r w:rsidRPr="00951808">
        <w:rPr>
          <w:rStyle w:val="apple-converted-space"/>
          <w:rFonts w:ascii="Garamond" w:hAnsi="Garamond"/>
          <w:sz w:val="20"/>
          <w:szCs w:val="20"/>
        </w:rPr>
        <w:t> </w:t>
      </w:r>
      <w:r w:rsidRPr="00951808">
        <w:rPr>
          <w:rFonts w:ascii="Garamond" w:hAnsi="Garamond"/>
          <w:sz w:val="20"/>
          <w:szCs w:val="20"/>
        </w:rPr>
        <w:t>DOI : https://doi.org/10.4000/cerri.373</w:t>
      </w:r>
    </w:p>
    <w:p w14:paraId="2E4758C6" w14:textId="77777777" w:rsidR="00F8717B" w:rsidRPr="00951808" w:rsidRDefault="00F8717B" w:rsidP="00F8717B">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7B"/>
    <w:rsid w:val="00065A7B"/>
    <w:rsid w:val="003E22B4"/>
    <w:rsid w:val="006E7F96"/>
    <w:rsid w:val="008E6E3C"/>
    <w:rsid w:val="009821D8"/>
    <w:rsid w:val="00F87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485E8"/>
  <w15:chartTrackingRefBased/>
  <w15:docId w15:val="{9CD719C0-12A8-154E-BC99-0FB1E99F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17B"/>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F8717B"/>
  </w:style>
  <w:style w:type="character" w:styleId="Accentuation">
    <w:name w:val="Emphasis"/>
    <w:basedOn w:val="Policepardfaut"/>
    <w:uiPriority w:val="20"/>
    <w:qFormat/>
    <w:rsid w:val="00F8717B"/>
    <w:rPr>
      <w:i/>
      <w:iCs/>
    </w:rPr>
  </w:style>
  <w:style w:type="paragraph" w:customStyle="1" w:styleId="texte">
    <w:name w:val="texte"/>
    <w:basedOn w:val="Normal"/>
    <w:rsid w:val="00F8717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8717B"/>
    <w:rPr>
      <w:b/>
      <w:bCs/>
    </w:rPr>
  </w:style>
  <w:style w:type="character" w:customStyle="1" w:styleId="familyname">
    <w:name w:val="familyname"/>
    <w:basedOn w:val="Policepardfaut"/>
    <w:rsid w:val="00F8717B"/>
  </w:style>
  <w:style w:type="paragraph" w:styleId="Notedebasdepage">
    <w:name w:val="footnote text"/>
    <w:basedOn w:val="Normal"/>
    <w:link w:val="NotedebasdepageCar"/>
    <w:uiPriority w:val="99"/>
    <w:semiHidden/>
    <w:unhideWhenUsed/>
    <w:rsid w:val="00F8717B"/>
    <w:rPr>
      <w:sz w:val="20"/>
      <w:szCs w:val="20"/>
    </w:rPr>
  </w:style>
  <w:style w:type="character" w:customStyle="1" w:styleId="NotedebasdepageCar">
    <w:name w:val="Note de bas de page Car"/>
    <w:basedOn w:val="Policepardfaut"/>
    <w:link w:val="Notedebasdepage"/>
    <w:uiPriority w:val="99"/>
    <w:semiHidden/>
    <w:rsid w:val="00F8717B"/>
    <w:rPr>
      <w:sz w:val="20"/>
      <w:szCs w:val="20"/>
    </w:rPr>
  </w:style>
  <w:style w:type="character" w:styleId="Appelnotedebasdep">
    <w:name w:val="footnote reference"/>
    <w:basedOn w:val="Policepardfaut"/>
    <w:uiPriority w:val="99"/>
    <w:semiHidden/>
    <w:unhideWhenUsed/>
    <w:rsid w:val="00F87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6551</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1</cp:revision>
  <dcterms:created xsi:type="dcterms:W3CDTF">2023-01-22T06:12:00Z</dcterms:created>
  <dcterms:modified xsi:type="dcterms:W3CDTF">2023-01-22T06:13:00Z</dcterms:modified>
</cp:coreProperties>
</file>