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C961" w14:textId="388A09BE" w:rsidR="00876080" w:rsidRDefault="00876080" w:rsidP="0087608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sz w:val="28"/>
          <w:szCs w:val="28"/>
          <w:lang w:eastAsia="fr-FR"/>
        </w:rPr>
        <w:t>« </w:t>
      </w:r>
      <w:r w:rsidRPr="0019347D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26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7D21B2"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  <w:t>Ne les craignez pas !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Rien de ce qui a été voilé qui ne sera aussi dévoilé et (rien) qui a été caché, qui ne sera connu. </w:t>
      </w:r>
      <w:r w:rsidRPr="0019347D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27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 que je vous dis dans les ténèbres, dites-le dans la lumière. Et ce que, à l’oreille, vous entendez, proclamez-le sur les terrasses. </w:t>
      </w:r>
      <w:r w:rsidRPr="0019347D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28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Oui, </w:t>
      </w:r>
      <w:r w:rsidRPr="007D21B2"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  <w:t>ne craignez pas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ceux qui tuent le corps, mais ne peuvent tuer l’âme mais </w:t>
      </w:r>
      <w:r w:rsidRPr="007D21B2"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  <w:t>craignez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plutôt celui qui peut faire détruire et l’âme et le corps dans la géhenne. </w:t>
      </w:r>
      <w:r w:rsidRPr="0019347D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29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Est-ce que </w:t>
      </w:r>
      <w:r w:rsidRPr="00F704CF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deux moineaux ne sont pas vendus contre de petites pièces ?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B13372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Et (pas) un d’entre eux ne disparaît sur la terre sans votre Père.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A23408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30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B13372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Les cheveux de vos têtes aussi, tous, ont été comptés. </w:t>
      </w:r>
      <w:r w:rsidRPr="00A23408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31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7D21B2"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  <w:t>Ne craignez pas !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Pr="00B13372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Vous, vous êtes supérieurs à de nombreux moineaux !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 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32 Quiconque se déclarera pour moi devant les hommes, je me déclarerai moi aussi pour lui devant mon Père qui est aux cieux ; 33 mais quiconque me reniera devant les hommes, je le renierai moi aussi devant mon Père qui est aux cieux » (Matthieu 10,26-33)</w:t>
      </w:r>
    </w:p>
    <w:p w14:paraId="0087547C" w14:textId="77777777" w:rsidR="00876080" w:rsidRDefault="00876080"/>
    <w:sectPr w:rsidR="0087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80"/>
    <w:rsid w:val="008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7B7"/>
  <w15:chartTrackingRefBased/>
  <w15:docId w15:val="{01FB812E-7334-40B0-BB2D-A5CAA51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2020-06-18T08:50:00Z</dcterms:created>
  <dcterms:modified xsi:type="dcterms:W3CDTF">2020-06-18T08:52:00Z</dcterms:modified>
</cp:coreProperties>
</file>